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560" w:lineRule="exact"/>
        <w:jc w:val="left"/>
        <w:rPr>
          <w:rFonts w:ascii="楷体_GB2312" w:eastAsia="楷体_GB2312"/>
          <w:b/>
          <w:bCs/>
          <w:color w:val="auto"/>
          <w:sz w:val="30"/>
          <w:szCs w:val="30"/>
        </w:rPr>
      </w:pPr>
      <w:r>
        <w:rPr>
          <w:rFonts w:hint="eastAsia" w:ascii="楷体_GB2312" w:eastAsia="楷体_GB2312"/>
          <w:b/>
          <w:bCs/>
          <w:color w:val="auto"/>
          <w:sz w:val="30"/>
          <w:szCs w:val="30"/>
        </w:rPr>
        <w:t>伊宁县</w:t>
      </w:r>
      <w:r>
        <w:rPr>
          <w:rFonts w:hint="eastAsia" w:ascii="楷体_GB2312" w:eastAsia="楷体_GB2312"/>
          <w:b/>
          <w:bCs/>
          <w:color w:val="auto"/>
          <w:sz w:val="30"/>
          <w:szCs w:val="30"/>
          <w:lang w:eastAsia="zh-CN"/>
        </w:rPr>
        <w:t>第十七</w:t>
      </w:r>
      <w:r>
        <w:rPr>
          <w:rFonts w:hint="eastAsia" w:ascii="楷体_GB2312" w:eastAsia="楷体_GB2312"/>
          <w:b/>
          <w:bCs/>
          <w:color w:val="auto"/>
          <w:sz w:val="30"/>
          <w:szCs w:val="30"/>
        </w:rPr>
        <w:t>届人大</w:t>
      </w:r>
      <w:r>
        <w:rPr>
          <w:rFonts w:hint="eastAsia" w:ascii="楷体_GB2312" w:eastAsia="楷体_GB2312"/>
          <w:b/>
          <w:bCs/>
          <w:color w:val="auto"/>
          <w:sz w:val="30"/>
          <w:szCs w:val="30"/>
          <w:lang w:val="en-US" w:eastAsia="zh-CN"/>
        </w:rPr>
        <w:t>五</w:t>
      </w:r>
      <w:r>
        <w:rPr>
          <w:rFonts w:hint="eastAsia" w:ascii="楷体_GB2312" w:eastAsia="楷体_GB2312"/>
          <w:b/>
          <w:bCs/>
          <w:color w:val="auto"/>
          <w:sz w:val="30"/>
          <w:szCs w:val="30"/>
        </w:rPr>
        <w:t>次会议</w:t>
      </w:r>
      <w:r>
        <w:rPr>
          <w:rFonts w:hint="eastAsia" w:ascii="楷体_GB2312" w:eastAsia="楷体_GB2312"/>
          <w:b/>
          <w:bCs/>
          <w:color w:val="auto"/>
          <w:sz w:val="30"/>
          <w:szCs w:val="30"/>
          <w:lang w:eastAsia="zh-CN"/>
        </w:rPr>
        <w:t>文件</w:t>
      </w:r>
      <w:r>
        <w:rPr>
          <w:rFonts w:hint="eastAsia" w:ascii="楷体_GB2312" w:eastAsia="楷体_GB2312"/>
          <w:b/>
          <w:bCs/>
          <w:color w:val="auto"/>
          <w:sz w:val="30"/>
          <w:szCs w:val="30"/>
        </w:rPr>
        <w:t>（</w:t>
      </w:r>
      <w:r>
        <w:rPr>
          <w:rFonts w:hint="eastAsia" w:ascii="楷体_GB2312" w:eastAsia="楷体_GB2312"/>
          <w:b/>
          <w:bCs/>
          <w:color w:val="auto"/>
          <w:sz w:val="30"/>
          <w:szCs w:val="30"/>
          <w:lang w:val="en-US" w:eastAsia="zh-CN"/>
        </w:rPr>
        <w:t>7</w:t>
      </w:r>
      <w:r>
        <w:rPr>
          <w:rFonts w:hint="eastAsia" w:ascii="楷体_GB2312" w:eastAsia="楷体_GB2312"/>
          <w:b/>
          <w:bCs/>
          <w:color w:val="auto"/>
          <w:sz w:val="30"/>
          <w:szCs w:val="30"/>
        </w:rPr>
        <w:t>）</w:t>
      </w:r>
    </w:p>
    <w:p>
      <w:pPr>
        <w:keepNext w:val="0"/>
        <w:keepLines w:val="0"/>
        <w:pageBreakBefore w:val="0"/>
        <w:widowControl w:val="0"/>
        <w:kinsoku/>
        <w:wordWrap/>
        <w:topLinePunct w:val="0"/>
        <w:autoSpaceDE/>
        <w:autoSpaceDN/>
        <w:bidi w:val="0"/>
        <w:adjustRightInd w:val="0"/>
        <w:snapToGrid w:val="0"/>
        <w:spacing w:line="560" w:lineRule="exact"/>
        <w:jc w:val="center"/>
        <w:rPr>
          <w:rFonts w:ascii="楷体_GB2312" w:eastAsia="楷体_GB2312"/>
          <w:b/>
          <w:color w:val="auto"/>
          <w:sz w:val="30"/>
          <w:szCs w:val="30"/>
        </w:rPr>
      </w:pPr>
    </w:p>
    <w:p>
      <w:pPr>
        <w:keepNext w:val="0"/>
        <w:keepLines w:val="0"/>
        <w:pageBreakBefore w:val="0"/>
        <w:widowControl w:val="0"/>
        <w:kinsoku/>
        <w:wordWrap/>
        <w:topLinePunct w:val="0"/>
        <w:autoSpaceDE/>
        <w:autoSpaceDN/>
        <w:bidi w:val="0"/>
        <w:adjustRightInd w:val="0"/>
        <w:snapToGrid w:val="0"/>
        <w:spacing w:line="560" w:lineRule="exact"/>
        <w:jc w:val="center"/>
        <w:rPr>
          <w:rFonts w:ascii="方正小标宋简体" w:hAnsi="宋体" w:eastAsia="方正小标宋简体"/>
          <w:b w:val="0"/>
          <w:bCs/>
          <w:color w:val="auto"/>
          <w:sz w:val="44"/>
          <w:szCs w:val="44"/>
        </w:rPr>
      </w:pPr>
      <w:r>
        <w:rPr>
          <w:rFonts w:hint="eastAsia" w:ascii="方正小标宋简体" w:hAnsi="宋体" w:eastAsia="方正小标宋简体"/>
          <w:b w:val="0"/>
          <w:bCs/>
          <w:color w:val="auto"/>
          <w:sz w:val="44"/>
          <w:szCs w:val="44"/>
        </w:rPr>
        <w:t>伊宁县人民检察院工作报告</w:t>
      </w:r>
    </w:p>
    <w:p>
      <w:pPr>
        <w:keepNext w:val="0"/>
        <w:keepLines w:val="0"/>
        <w:pageBreakBefore w:val="0"/>
        <w:widowControl w:val="0"/>
        <w:kinsoku/>
        <w:wordWrap/>
        <w:topLinePunct w:val="0"/>
        <w:autoSpaceDE/>
        <w:autoSpaceDN/>
        <w:bidi w:val="0"/>
        <w:adjustRightInd w:val="0"/>
        <w:snapToGrid w:val="0"/>
        <w:spacing w:line="560" w:lineRule="exact"/>
        <w:jc w:val="center"/>
        <w:rPr>
          <w:rFonts w:ascii="黑体" w:hAnsi="宋体" w:eastAsia="黑体"/>
          <w:b/>
          <w:color w:val="auto"/>
          <w:sz w:val="44"/>
          <w:szCs w:val="44"/>
        </w:rPr>
      </w:pPr>
    </w:p>
    <w:p>
      <w:pPr>
        <w:keepNext w:val="0"/>
        <w:keepLines w:val="0"/>
        <w:pageBreakBefore w:val="0"/>
        <w:widowControl w:val="0"/>
        <w:kinsoku/>
        <w:wordWrap/>
        <w:topLinePunct w:val="0"/>
        <w:autoSpaceDE/>
        <w:autoSpaceDN/>
        <w:bidi w:val="0"/>
        <w:adjustRightInd w:val="0"/>
        <w:snapToGrid w:val="0"/>
        <w:spacing w:line="560" w:lineRule="exact"/>
        <w:jc w:val="center"/>
        <w:rPr>
          <w:rFonts w:ascii="楷体_GB2312" w:eastAsia="楷体_GB2312"/>
          <w:b/>
          <w:bCs/>
          <w:color w:val="auto"/>
          <w:sz w:val="30"/>
          <w:szCs w:val="30"/>
        </w:rPr>
      </w:pPr>
      <w:r>
        <w:rPr>
          <w:rFonts w:hint="eastAsia" w:ascii="楷体_GB2312" w:eastAsia="楷体_GB2312"/>
          <w:b/>
          <w:bCs/>
          <w:color w:val="auto"/>
          <w:sz w:val="30"/>
          <w:szCs w:val="30"/>
        </w:rPr>
        <w:t>20</w:t>
      </w:r>
      <w:r>
        <w:rPr>
          <w:rFonts w:hint="eastAsia" w:ascii="楷体_GB2312" w:eastAsia="楷体_GB2312"/>
          <w:b/>
          <w:bCs/>
          <w:color w:val="auto"/>
          <w:sz w:val="30"/>
          <w:szCs w:val="30"/>
          <w:lang w:val="en-US" w:eastAsia="zh-CN"/>
        </w:rPr>
        <w:t>20</w:t>
      </w:r>
      <w:r>
        <w:rPr>
          <w:rFonts w:hint="eastAsia" w:ascii="楷体_GB2312" w:eastAsia="楷体_GB2312"/>
          <w:b/>
          <w:bCs/>
          <w:color w:val="auto"/>
          <w:sz w:val="30"/>
          <w:szCs w:val="30"/>
        </w:rPr>
        <w:t>年</w:t>
      </w:r>
      <w:r>
        <w:rPr>
          <w:rFonts w:hint="eastAsia" w:ascii="楷体_GB2312" w:eastAsia="楷体_GB2312"/>
          <w:b/>
          <w:bCs/>
          <w:color w:val="auto"/>
          <w:sz w:val="30"/>
          <w:szCs w:val="30"/>
          <w:lang w:val="en-US" w:eastAsia="zh-CN"/>
        </w:rPr>
        <w:t>1</w:t>
      </w:r>
      <w:r>
        <w:rPr>
          <w:rFonts w:hint="eastAsia" w:ascii="楷体_GB2312" w:eastAsia="楷体_GB2312"/>
          <w:b/>
          <w:bCs/>
          <w:color w:val="auto"/>
          <w:sz w:val="30"/>
          <w:szCs w:val="30"/>
        </w:rPr>
        <w:t>月</w:t>
      </w:r>
      <w:r>
        <w:rPr>
          <w:rFonts w:hint="eastAsia" w:ascii="楷体_GB2312" w:eastAsia="楷体_GB2312"/>
          <w:b/>
          <w:bCs/>
          <w:color w:val="auto"/>
          <w:sz w:val="30"/>
          <w:szCs w:val="30"/>
          <w:lang w:val="en-US" w:eastAsia="zh-CN"/>
        </w:rPr>
        <w:t>15</w:t>
      </w:r>
      <w:r>
        <w:rPr>
          <w:rFonts w:hint="eastAsia" w:ascii="楷体_GB2312" w:eastAsia="楷体_GB2312"/>
          <w:b/>
          <w:bCs/>
          <w:color w:val="auto"/>
          <w:sz w:val="30"/>
          <w:szCs w:val="30"/>
        </w:rPr>
        <w:t>日在伊宁县第</w:t>
      </w:r>
      <w:r>
        <w:rPr>
          <w:rFonts w:hint="eastAsia" w:ascii="楷体_GB2312" w:eastAsia="楷体_GB2312"/>
          <w:b/>
          <w:bCs/>
          <w:color w:val="auto"/>
          <w:sz w:val="30"/>
          <w:szCs w:val="30"/>
          <w:lang w:val="en-US" w:eastAsia="zh-CN"/>
        </w:rPr>
        <w:t>十七</w:t>
      </w:r>
      <w:r>
        <w:rPr>
          <w:rFonts w:hint="eastAsia" w:ascii="楷体_GB2312" w:eastAsia="楷体_GB2312"/>
          <w:b/>
          <w:bCs/>
          <w:color w:val="auto"/>
          <w:sz w:val="30"/>
          <w:szCs w:val="30"/>
        </w:rPr>
        <w:t>届人民代表大会第</w:t>
      </w:r>
      <w:r>
        <w:rPr>
          <w:rFonts w:hint="eastAsia" w:ascii="楷体_GB2312" w:eastAsia="楷体_GB2312"/>
          <w:b/>
          <w:bCs/>
          <w:color w:val="auto"/>
          <w:sz w:val="30"/>
          <w:szCs w:val="30"/>
          <w:lang w:val="en-US" w:eastAsia="zh-CN"/>
        </w:rPr>
        <w:t>五</w:t>
      </w:r>
      <w:r>
        <w:rPr>
          <w:rFonts w:hint="eastAsia" w:ascii="楷体_GB2312" w:eastAsia="楷体_GB2312"/>
          <w:b/>
          <w:bCs/>
          <w:color w:val="auto"/>
          <w:sz w:val="30"/>
          <w:szCs w:val="30"/>
        </w:rPr>
        <w:t>次会议上</w:t>
      </w:r>
    </w:p>
    <w:p>
      <w:pPr>
        <w:keepNext w:val="0"/>
        <w:keepLines w:val="0"/>
        <w:pageBreakBefore w:val="0"/>
        <w:widowControl w:val="0"/>
        <w:kinsoku/>
        <w:wordWrap/>
        <w:topLinePunct w:val="0"/>
        <w:autoSpaceDE/>
        <w:autoSpaceDN/>
        <w:bidi w:val="0"/>
        <w:adjustRightInd w:val="0"/>
        <w:snapToGrid w:val="0"/>
        <w:spacing w:line="560" w:lineRule="exact"/>
        <w:jc w:val="center"/>
        <w:rPr>
          <w:rFonts w:ascii="楷体_GB2312" w:eastAsia="楷体_GB2312"/>
          <w:b/>
          <w:bCs/>
          <w:color w:val="auto"/>
          <w:sz w:val="30"/>
          <w:szCs w:val="30"/>
        </w:rPr>
      </w:pPr>
      <w:r>
        <w:rPr>
          <w:rFonts w:hint="eastAsia" w:ascii="楷体_GB2312" w:eastAsia="楷体_GB2312"/>
          <w:b/>
          <w:bCs/>
          <w:color w:val="auto"/>
          <w:sz w:val="30"/>
          <w:szCs w:val="30"/>
        </w:rPr>
        <w:t xml:space="preserve">伊宁县人民检察院检察长 </w:t>
      </w:r>
      <w:r>
        <w:rPr>
          <w:rFonts w:hint="eastAsia" w:ascii="楷体_GB2312" w:eastAsia="楷体_GB2312"/>
          <w:b/>
          <w:bCs/>
          <w:color w:val="auto"/>
          <w:sz w:val="30"/>
          <w:szCs w:val="30"/>
          <w:lang w:val="en-US" w:eastAsia="zh-CN"/>
        </w:rPr>
        <w:t xml:space="preserve"> </w:t>
      </w:r>
      <w:r>
        <w:rPr>
          <w:rFonts w:hint="eastAsia" w:ascii="楷体_GB2312" w:eastAsia="楷体_GB2312"/>
          <w:b/>
          <w:bCs/>
          <w:color w:val="auto"/>
          <w:sz w:val="30"/>
          <w:szCs w:val="30"/>
        </w:rPr>
        <w:t>依布拉音·玉山</w:t>
      </w:r>
    </w:p>
    <w:p>
      <w:pPr>
        <w:keepNext w:val="0"/>
        <w:keepLines w:val="0"/>
        <w:pageBreakBefore w:val="0"/>
        <w:widowControl w:val="0"/>
        <w:kinsoku/>
        <w:wordWrap/>
        <w:topLinePunct w:val="0"/>
        <w:autoSpaceDE/>
        <w:autoSpaceDN/>
        <w:bidi w:val="0"/>
        <w:adjustRightInd w:val="0"/>
        <w:snapToGrid w:val="0"/>
        <w:spacing w:line="560" w:lineRule="exact"/>
        <w:jc w:val="center"/>
        <w:rPr>
          <w:rFonts w:ascii="楷体_GB2312" w:eastAsia="楷体_GB2312"/>
          <w:b/>
          <w:bCs/>
          <w:color w:val="auto"/>
          <w:sz w:val="30"/>
          <w:szCs w:val="30"/>
        </w:rPr>
      </w:pPr>
    </w:p>
    <w:p>
      <w:pPr>
        <w:keepNext w:val="0"/>
        <w:keepLines w:val="0"/>
        <w:pageBreakBefore w:val="0"/>
        <w:widowControl w:val="0"/>
        <w:kinsoku/>
        <w:wordWrap/>
        <w:topLinePunct w:val="0"/>
        <w:autoSpaceDE/>
        <w:autoSpaceDN/>
        <w:bidi w:val="0"/>
        <w:adjustRightInd w:val="0"/>
        <w:snapToGrid w:val="0"/>
        <w:spacing w:line="560" w:lineRule="exact"/>
        <w:rPr>
          <w:rFonts w:ascii="仿宋_GB2312" w:hAnsi="宋体" w:eastAsia="仿宋_GB2312"/>
          <w:color w:val="auto"/>
          <w:sz w:val="32"/>
          <w:szCs w:val="32"/>
        </w:rPr>
      </w:pPr>
      <w:r>
        <w:rPr>
          <w:rFonts w:hint="eastAsia" w:ascii="仿宋_GB2312" w:hAnsi="宋体" w:eastAsia="仿宋_GB2312"/>
          <w:color w:val="auto"/>
          <w:sz w:val="32"/>
          <w:szCs w:val="32"/>
        </w:rPr>
        <w:t>各位代表：</w:t>
      </w:r>
      <w:bookmarkStart w:id="0" w:name="_GoBack"/>
      <w:bookmarkEnd w:id="0"/>
    </w:p>
    <w:p>
      <w:pPr>
        <w:spacing w:beforeLines="50" w:line="560" w:lineRule="exact"/>
        <w:ind w:right="105" w:rightChars="50" w:firstLine="640" w:firstLineChars="200"/>
        <w:rPr>
          <w:rFonts w:hint="eastAsia" w:ascii="仿宋_GB2312" w:hAnsi="Calibri" w:eastAsia="仿宋_GB2312" w:cs="Arial"/>
          <w:color w:val="auto"/>
          <w:sz w:val="32"/>
          <w:szCs w:val="32"/>
          <w:lang w:val="en-US" w:eastAsia="zh-CN"/>
        </w:rPr>
      </w:pPr>
      <w:r>
        <w:rPr>
          <w:rFonts w:hint="eastAsia" w:ascii="仿宋_GB2312" w:hAnsi="宋体" w:eastAsia="仿宋_GB2312"/>
          <w:color w:val="auto"/>
          <w:sz w:val="32"/>
          <w:szCs w:val="32"/>
        </w:rPr>
        <w:t>现在，我代表伊宁县人民检察院向大会作报告，请</w:t>
      </w:r>
      <w:r>
        <w:rPr>
          <w:rFonts w:hint="eastAsia" w:ascii="仿宋_GB2312" w:hAnsi="宋体" w:eastAsia="仿宋_GB2312"/>
          <w:color w:val="auto"/>
          <w:sz w:val="32"/>
          <w:szCs w:val="32"/>
          <w:lang w:eastAsia="zh-CN"/>
        </w:rPr>
        <w:t>予审议，并请各位政协委</w:t>
      </w:r>
      <w:r>
        <w:rPr>
          <w:rFonts w:hint="eastAsia" w:ascii="仿宋_GB2312" w:hAnsi="Calibri" w:eastAsia="仿宋_GB2312" w:cs="Arial"/>
          <w:color w:val="auto"/>
          <w:sz w:val="32"/>
          <w:szCs w:val="32"/>
          <w:lang w:eastAsia="zh-CN"/>
        </w:rPr>
        <w:t>员和列席会议的同志提出意见。</w:t>
      </w:r>
    </w:p>
    <w:p>
      <w:pPr>
        <w:spacing w:beforeLines="50" w:line="560" w:lineRule="exact"/>
        <w:ind w:right="105" w:rightChars="50" w:firstLine="640" w:firstLineChars="20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2019年</w:t>
      </w:r>
      <w:r>
        <w:rPr>
          <w:rFonts w:hint="eastAsia" w:ascii="黑体" w:hAnsi="黑体" w:eastAsia="黑体" w:cs="黑体"/>
          <w:color w:val="auto"/>
          <w:sz w:val="32"/>
          <w:szCs w:val="32"/>
          <w:lang w:eastAsia="zh-CN"/>
        </w:rPr>
        <w:t>主要工作</w:t>
      </w:r>
    </w:p>
    <w:p>
      <w:pPr>
        <w:spacing w:beforeLines="50" w:line="560" w:lineRule="exact"/>
        <w:ind w:right="105" w:rightChars="50" w:firstLine="640" w:firstLineChars="200"/>
        <w:rPr>
          <w:rFonts w:hint="eastAsia" w:ascii="黑体" w:eastAsia="黑体"/>
          <w:color w:val="auto"/>
          <w:sz w:val="32"/>
          <w:szCs w:val="32"/>
        </w:rPr>
      </w:pPr>
      <w:r>
        <w:rPr>
          <w:rFonts w:hint="eastAsia" w:ascii="仿宋_GB2312" w:hAnsi="Calibri" w:eastAsia="仿宋_GB2312" w:cs="Arial"/>
          <w:color w:val="auto"/>
          <w:sz w:val="32"/>
          <w:szCs w:val="32"/>
          <w:lang w:val="en-US" w:eastAsia="zh-CN"/>
        </w:rPr>
        <w:t>2019</w:t>
      </w:r>
      <w:r>
        <w:rPr>
          <w:rFonts w:hint="eastAsia" w:ascii="仿宋_GB2312" w:hAnsi="Calibri" w:eastAsia="仿宋_GB2312" w:cs="Arial"/>
          <w:color w:val="auto"/>
          <w:sz w:val="32"/>
          <w:szCs w:val="32"/>
        </w:rPr>
        <w:t>年，伊宁县人民检察院在县委和上级</w:t>
      </w:r>
      <w:r>
        <w:rPr>
          <w:rFonts w:hint="eastAsia" w:ascii="仿宋_GB2312" w:eastAsia="仿宋_GB2312"/>
          <w:color w:val="auto"/>
          <w:sz w:val="32"/>
          <w:szCs w:val="32"/>
        </w:rPr>
        <w:t>检察机关的坚强领导下，在县人大及其常委会的有力监督下，</w:t>
      </w:r>
      <w:r>
        <w:rPr>
          <w:rFonts w:hint="eastAsia" w:ascii="仿宋_GB2312" w:eastAsia="仿宋_GB2312"/>
          <w:color w:val="auto"/>
          <w:sz w:val="32"/>
          <w:szCs w:val="32"/>
          <w:lang w:eastAsia="zh-CN"/>
        </w:rPr>
        <w:t>坚持以习近平新时代中国特色社会主义思想为指导，树牢“四个意识”、增强“四个自信”，坚决做到“两个维护”，立足新时代人民群众对民主、法治、公平、正义、安全、环境等提出的更高要求，立足于全县经济社会发展稳定大局，</w:t>
      </w:r>
      <w:r>
        <w:rPr>
          <w:rFonts w:hint="eastAsia" w:ascii="仿宋_GB2312" w:eastAsia="仿宋_GB2312"/>
          <w:color w:val="auto"/>
          <w:sz w:val="32"/>
          <w:szCs w:val="32"/>
          <w:lang w:eastAsia="zh-CN"/>
        </w:rPr>
        <w:t>忠实履行宪法和法律赋予的职责，思想理念持续更新、监督力度持续加大、能力素质持续提升，</w:t>
      </w:r>
      <w:r>
        <w:rPr>
          <w:rFonts w:hint="eastAsia" w:ascii="仿宋_GB2312" w:hAnsi="仿宋_GB2312" w:eastAsia="仿宋_GB2312" w:cs="仿宋_GB2312"/>
          <w:i w:val="0"/>
          <w:caps w:val="0"/>
          <w:color w:val="auto"/>
          <w:spacing w:val="0"/>
          <w:sz w:val="32"/>
          <w:szCs w:val="32"/>
        </w:rPr>
        <w:t>各项检察</w:t>
      </w:r>
      <w:r>
        <w:rPr>
          <w:rFonts w:hint="eastAsia" w:ascii="仿宋_GB2312" w:eastAsia="仿宋_GB2312"/>
          <w:color w:val="auto"/>
          <w:sz w:val="32"/>
          <w:szCs w:val="32"/>
          <w:lang w:eastAsia="zh-CN"/>
        </w:rPr>
        <w:t>工作在新的起点上持续向前推进。</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rPr>
          <w:rFonts w:hint="eastAsia" w:ascii="黑体" w:eastAsia="黑体"/>
          <w:color w:val="auto"/>
          <w:sz w:val="32"/>
          <w:szCs w:val="32"/>
          <w:lang w:eastAsia="zh-CN"/>
        </w:rPr>
      </w:pPr>
      <w:r>
        <w:rPr>
          <w:rFonts w:hint="eastAsia" w:ascii="黑体" w:eastAsia="黑体"/>
          <w:color w:val="auto"/>
          <w:sz w:val="32"/>
          <w:szCs w:val="32"/>
        </w:rPr>
        <w:t>一、</w:t>
      </w:r>
      <w:r>
        <w:rPr>
          <w:rFonts w:hint="eastAsia" w:ascii="黑体" w:eastAsia="黑体"/>
          <w:color w:val="auto"/>
          <w:sz w:val="32"/>
          <w:szCs w:val="32"/>
          <w:lang w:eastAsia="zh-CN"/>
        </w:rPr>
        <w:t>坚定不移讲政治，确保党对检察工作的绝对领导</w:t>
      </w:r>
    </w:p>
    <w:p>
      <w:pPr>
        <w:keepNext w:val="0"/>
        <w:keepLines w:val="0"/>
        <w:pageBreakBefore w:val="0"/>
        <w:kinsoku/>
        <w:wordWrap/>
        <w:topLinePunct w:val="0"/>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bCs/>
          <w:color w:val="auto"/>
          <w:sz w:val="32"/>
          <w:szCs w:val="32"/>
          <w:lang w:eastAsia="zh-CN"/>
        </w:rPr>
        <w:t>旗帜鲜明讲政治，</w:t>
      </w:r>
      <w:r>
        <w:rPr>
          <w:rFonts w:hint="eastAsia" w:ascii="仿宋_GB2312" w:hAnsi="仿宋_GB2312" w:eastAsia="仿宋_GB2312" w:cs="仿宋_GB2312"/>
          <w:b w:val="0"/>
          <w:bCs/>
          <w:color w:val="auto"/>
          <w:sz w:val="32"/>
          <w:szCs w:val="32"/>
        </w:rPr>
        <w:t>把</w:t>
      </w:r>
      <w:r>
        <w:rPr>
          <w:rFonts w:hint="eastAsia" w:ascii="仿宋_GB2312" w:hAnsi="仿宋_GB2312" w:eastAsia="仿宋_GB2312" w:cs="仿宋_GB2312"/>
          <w:color w:val="auto"/>
          <w:sz w:val="32"/>
          <w:szCs w:val="32"/>
        </w:rPr>
        <w:t>学懂弄通做实</w:t>
      </w:r>
      <w:r>
        <w:rPr>
          <w:rFonts w:hint="eastAsia" w:ascii="仿宋_GB2312" w:hAnsi="仿宋_GB2312" w:eastAsia="仿宋_GB2312" w:cs="仿宋_GB2312"/>
          <w:bCs/>
          <w:color w:val="auto"/>
          <w:sz w:val="32"/>
          <w:szCs w:val="32"/>
        </w:rPr>
        <w:t>习</w:t>
      </w:r>
      <w:r>
        <w:rPr>
          <w:rFonts w:hint="eastAsia" w:ascii="仿宋_GB2312" w:hAnsi="仿宋_GB2312" w:eastAsia="仿宋_GB2312"/>
          <w:bCs/>
          <w:color w:val="auto"/>
          <w:sz w:val="32"/>
          <w:szCs w:val="32"/>
        </w:rPr>
        <w:t>近平新时代中国特色社会主义思想</w:t>
      </w:r>
      <w:r>
        <w:rPr>
          <w:rFonts w:hint="eastAsia" w:ascii="仿宋_GB2312" w:hAnsi="仿宋_GB2312" w:eastAsia="仿宋_GB2312"/>
          <w:bCs/>
          <w:color w:val="auto"/>
          <w:sz w:val="32"/>
          <w:szCs w:val="32"/>
          <w:lang w:eastAsia="zh-CN"/>
        </w:rPr>
        <w:t>、新时代党的治疆方</w:t>
      </w:r>
      <w:r>
        <w:rPr>
          <w:rFonts w:hint="eastAsia" w:ascii="仿宋_GB2312" w:hAnsi="仿宋_GB2312" w:eastAsia="仿宋_GB2312" w:cs="仿宋_GB2312"/>
          <w:bCs/>
          <w:color w:val="auto"/>
          <w:sz w:val="32"/>
          <w:szCs w:val="32"/>
          <w:lang w:eastAsia="zh-CN"/>
        </w:rPr>
        <w:t>略</w:t>
      </w:r>
      <w:r>
        <w:rPr>
          <w:rFonts w:hint="eastAsia" w:ascii="仿宋_GB2312" w:hAnsi="仿宋_GB2312" w:eastAsia="仿宋_GB2312" w:cs="仿宋_GB2312"/>
          <w:color w:val="auto"/>
          <w:sz w:val="32"/>
          <w:szCs w:val="32"/>
        </w:rPr>
        <w:t>贯穿思考、谋划、部署检察工作全过程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坚定政治方向。</w:t>
      </w:r>
      <w:r>
        <w:rPr>
          <w:rFonts w:hint="eastAsia" w:ascii="仿宋_GB2312" w:hAnsi="仿宋_GB2312" w:eastAsia="仿宋_GB2312"/>
          <w:bCs/>
          <w:color w:val="auto"/>
          <w:sz w:val="32"/>
          <w:szCs w:val="32"/>
          <w:lang w:eastAsia="zh-CN"/>
        </w:rPr>
        <w:t>毫不动摇坚持党对检察工作的绝对领导，毫不动摇走中国特色社会主义法治道路、检察道路，毫不动摇以党的政治建设统领各项检察工作，把围绕总目标、服务总目标作为检察工作的着眼点、着力点，确保检察工作政治方向不偏。</w:t>
      </w:r>
      <w:r>
        <w:rPr>
          <w:rFonts w:hint="eastAsia" w:ascii="仿宋_GB2312" w:hAnsi="仿宋_GB2312" w:eastAsia="仿宋_GB2312" w:cs="仿宋_GB2312"/>
          <w:b/>
          <w:bCs w:val="0"/>
          <w:color w:val="auto"/>
          <w:sz w:val="32"/>
          <w:szCs w:val="32"/>
          <w:lang w:eastAsia="zh-CN"/>
        </w:rPr>
        <w:t>站稳政治立场。</w:t>
      </w:r>
      <w:r>
        <w:rPr>
          <w:rFonts w:hint="eastAsia" w:ascii="仿宋_GB2312" w:hAnsi="仿宋_GB2312" w:eastAsia="仿宋_GB2312" w:cs="仿宋_GB2312"/>
          <w:b w:val="0"/>
          <w:bCs/>
          <w:color w:val="auto"/>
          <w:sz w:val="32"/>
          <w:szCs w:val="32"/>
          <w:lang w:eastAsia="zh-CN"/>
        </w:rPr>
        <w:t>围绕新时代人民群众对美好生活的新需求，着眼老百姓最关心的突出问题，综合运用打击、预防、监督、教育、保护等检察手段，特别是有效发挥法律新赋予的公益诉讼检察职能，加大司法服务保障力度，</w:t>
      </w:r>
      <w:r>
        <w:rPr>
          <w:rFonts w:hint="eastAsia" w:ascii="仿宋_GB2312" w:hAnsi="仿宋_GB2312" w:eastAsia="仿宋_GB2312" w:cs="仿宋_GB2312"/>
          <w:color w:val="auto"/>
          <w:sz w:val="32"/>
          <w:szCs w:val="32"/>
          <w:lang w:eastAsia="zh-CN"/>
        </w:rPr>
        <w:t>为人民群众拥有更多的获得感、幸福感、安全感努力做出检察机关新贡献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彰显</w:t>
      </w:r>
      <w:r>
        <w:rPr>
          <w:rFonts w:hint="eastAsia" w:ascii="仿宋_GB2312" w:hAnsi="仿宋_GB2312" w:eastAsia="仿宋_GB2312" w:cs="仿宋_GB2312"/>
          <w:b/>
          <w:bCs/>
          <w:color w:val="auto"/>
          <w:sz w:val="32"/>
          <w:szCs w:val="32"/>
          <w:lang w:eastAsia="zh-CN"/>
        </w:rPr>
        <w:t>政治</w:t>
      </w:r>
      <w:r>
        <w:rPr>
          <w:rFonts w:hint="eastAsia" w:ascii="仿宋_GB2312" w:hAnsi="仿宋_GB2312" w:eastAsia="仿宋_GB2312" w:cs="仿宋_GB2312"/>
          <w:b/>
          <w:bCs/>
          <w:color w:val="auto"/>
          <w:sz w:val="32"/>
          <w:szCs w:val="32"/>
        </w:rPr>
        <w:t>担当</w:t>
      </w:r>
      <w:r>
        <w:rPr>
          <w:rFonts w:hint="eastAsia" w:ascii="楷体_GB2312" w:hAnsi="楷体_GB2312" w:eastAsia="楷体_GB2312" w:cs="楷体_GB2312"/>
          <w:b w:val="0"/>
          <w:bCs/>
          <w:color w:val="auto"/>
          <w:sz w:val="32"/>
          <w:szCs w:val="32"/>
        </w:rPr>
        <w:t>。</w:t>
      </w:r>
      <w:r>
        <w:rPr>
          <w:rFonts w:hint="eastAsia" w:ascii="仿宋_GB2312" w:hAnsi="仿宋_GB2312" w:eastAsia="仿宋_GB2312"/>
          <w:color w:val="auto"/>
          <w:sz w:val="32"/>
          <w:szCs w:val="32"/>
        </w:rPr>
        <w:t>积极</w:t>
      </w:r>
      <w:r>
        <w:rPr>
          <w:rFonts w:hint="eastAsia" w:ascii="仿宋_GB2312" w:hAnsi="仿宋_GB2312" w:eastAsia="仿宋_GB2312" w:cs="餅╋灛餅"/>
          <w:bCs/>
          <w:color w:val="auto"/>
          <w:kern w:val="0"/>
          <w:sz w:val="32"/>
          <w:szCs w:val="32"/>
        </w:rPr>
        <w:t>参与</w:t>
      </w:r>
      <w:r>
        <w:rPr>
          <w:rFonts w:hint="eastAsia" w:ascii="仿宋_GB2312" w:hAnsi="仿宋_GB2312" w:eastAsia="仿宋_GB2312"/>
          <w:color w:val="auto"/>
          <w:sz w:val="32"/>
          <w:szCs w:val="32"/>
        </w:rPr>
        <w:t>一线释法宣教，</w:t>
      </w:r>
      <w:r>
        <w:rPr>
          <w:rFonts w:hint="eastAsia" w:ascii="仿宋_GB2312" w:hAnsi="仿宋_GB2312" w:eastAsia="仿宋_GB2312" w:cs="仿宋_GB2312"/>
          <w:b w:val="0"/>
          <w:bCs/>
          <w:color w:val="auto"/>
          <w:sz w:val="32"/>
          <w:szCs w:val="32"/>
          <w:lang w:val="en-US" w:eastAsia="zh-CN"/>
        </w:rPr>
        <w:t>选派法律业务知识精湛的11名干警</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i w:val="0"/>
          <w:caps w:val="0"/>
          <w:color w:val="auto"/>
          <w:spacing w:val="0"/>
          <w:sz w:val="32"/>
          <w:szCs w:val="32"/>
          <w:lang w:eastAsia="zh-CN"/>
        </w:rPr>
        <w:t>深入乡村、社区、学校、职业技能教育培训中心，广泛开展“去极端化”法治宣传教育，切实增强各族群众“五个认同”意识。</w:t>
      </w:r>
      <w:r>
        <w:rPr>
          <w:rFonts w:hint="eastAsia" w:ascii="仿宋_GB2312" w:hAnsi="仿宋" w:eastAsia="仿宋_GB2312"/>
          <w:color w:val="auto"/>
          <w:sz w:val="32"/>
          <w:szCs w:val="32"/>
          <w:lang w:eastAsia="zh-CN"/>
        </w:rPr>
        <w:t>常态化推进“访惠聚”</w:t>
      </w:r>
      <w:r>
        <w:rPr>
          <w:rFonts w:hint="eastAsia" w:ascii="仿宋_GB2312" w:hAnsi="仿宋" w:eastAsia="仿宋_GB2312" w:cs="宋体"/>
          <w:color w:val="auto"/>
          <w:sz w:val="32"/>
          <w:szCs w:val="32"/>
        </w:rPr>
        <w:t>“民族团结一家亲”</w:t>
      </w:r>
      <w:r>
        <w:rPr>
          <w:rFonts w:hint="eastAsia" w:ascii="仿宋_GB2312" w:hAnsi="仿宋" w:eastAsia="仿宋_GB2312" w:cs="宋体"/>
          <w:color w:val="auto"/>
          <w:sz w:val="32"/>
          <w:szCs w:val="32"/>
          <w:lang w:eastAsia="zh-CN"/>
        </w:rPr>
        <w:t>等群众工作，</w:t>
      </w:r>
      <w:r>
        <w:rPr>
          <w:rFonts w:hint="eastAsia" w:ascii="仿宋_GB2312" w:eastAsia="仿宋_GB2312"/>
          <w:color w:val="auto"/>
          <w:sz w:val="32"/>
          <w:szCs w:val="32"/>
        </w:rPr>
        <w:t>聚力基层搭心桥，入户结亲融真情，</w:t>
      </w:r>
      <w:r>
        <w:rPr>
          <w:rFonts w:hint="eastAsia" w:ascii="仿宋_GB2312" w:hAnsi="黑体" w:eastAsia="仿宋_GB2312"/>
          <w:color w:val="auto"/>
          <w:sz w:val="32"/>
          <w:szCs w:val="32"/>
        </w:rPr>
        <w:t>唱好维护民族团结的“大合唱”</w:t>
      </w:r>
      <w:r>
        <w:rPr>
          <w:rFonts w:hint="eastAsia" w:ascii="仿宋_GB2312" w:hAnsi="黑体" w:eastAsia="仿宋_GB2312"/>
          <w:color w:val="auto"/>
          <w:sz w:val="32"/>
          <w:szCs w:val="32"/>
          <w:lang w:eastAsia="zh-CN"/>
        </w:rPr>
        <w:t>。</w:t>
      </w:r>
      <w:r>
        <w:rPr>
          <w:rFonts w:hint="eastAsia" w:ascii="仿宋_GB2312" w:hAnsi="仿宋" w:eastAsia="仿宋_GB2312" w:cs="宋体"/>
          <w:color w:val="auto"/>
          <w:sz w:val="32"/>
          <w:szCs w:val="32"/>
          <w:lang w:eastAsia="zh-CN"/>
        </w:rPr>
        <w:t>为群众解决办理户口、接入自来水等反映强烈的突出问题</w:t>
      </w:r>
      <w:r>
        <w:rPr>
          <w:rFonts w:hint="eastAsia" w:ascii="仿宋_GB2312" w:hAnsi="仿宋" w:eastAsia="仿宋_GB2312" w:cs="宋体"/>
          <w:color w:val="auto"/>
          <w:sz w:val="32"/>
          <w:szCs w:val="32"/>
          <w:lang w:val="en-US" w:eastAsia="zh-CN"/>
        </w:rPr>
        <w:t>12件</w:t>
      </w:r>
      <w:r>
        <w:rPr>
          <w:rFonts w:hint="eastAsia" w:ascii="仿宋_GB2312" w:hAnsi="仿宋" w:eastAsia="仿宋_GB2312" w:cs="宋体"/>
          <w:color w:val="auto"/>
          <w:sz w:val="32"/>
          <w:szCs w:val="32"/>
          <w:lang w:eastAsia="zh-CN"/>
        </w:rPr>
        <w:t>，不断厚植社会稳定的群众基础，</w:t>
      </w:r>
      <w:r>
        <w:rPr>
          <w:rFonts w:hint="eastAsia" w:ascii="仿宋_GB2312" w:eastAsia="仿宋_GB2312"/>
          <w:color w:val="auto"/>
          <w:sz w:val="32"/>
          <w:szCs w:val="32"/>
        </w:rPr>
        <w:t>全力构建共建共治共享新格局。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baseline"/>
        <w:rPr>
          <w:rFonts w:hint="eastAsia" w:ascii="黑体" w:hAnsi="黑体" w:eastAsia="黑体" w:cs="黑体"/>
          <w:i w:val="0"/>
          <w:caps w:val="0"/>
          <w:color w:val="auto"/>
          <w:spacing w:val="0"/>
          <w:sz w:val="32"/>
          <w:szCs w:val="32"/>
          <w:lang w:eastAsia="zh-CN"/>
        </w:rPr>
      </w:pPr>
      <w:r>
        <w:rPr>
          <w:rFonts w:hint="eastAsia" w:ascii="黑体" w:hAnsi="黑体" w:eastAsia="黑体" w:cs="黑体"/>
          <w:bCs/>
          <w:color w:val="auto"/>
          <w:sz w:val="32"/>
          <w:szCs w:val="32"/>
          <w:lang w:eastAsia="zh-CN"/>
        </w:rPr>
        <w:t>二、</w:t>
      </w:r>
      <w:r>
        <w:rPr>
          <w:rFonts w:hint="eastAsia" w:ascii="黑体" w:hAnsi="黑体" w:eastAsia="黑体" w:cs="黑体"/>
          <w:i w:val="0"/>
          <w:caps w:val="0"/>
          <w:color w:val="auto"/>
          <w:spacing w:val="0"/>
          <w:sz w:val="32"/>
          <w:szCs w:val="32"/>
          <w:lang w:eastAsia="zh-CN"/>
        </w:rPr>
        <w:t>充分发挥检察职能，服务保障发展大局</w:t>
      </w:r>
    </w:p>
    <w:p>
      <w:pPr>
        <w:keepNext w:val="0"/>
        <w:keepLines w:val="0"/>
        <w:pageBreakBefore w:val="0"/>
        <w:kinsoku/>
        <w:wordWrap/>
        <w:topLinePunct w:val="0"/>
        <w:autoSpaceDN/>
        <w:bidi w:val="0"/>
        <w:spacing w:line="560" w:lineRule="exact"/>
        <w:ind w:firstLine="640" w:firstLineChars="200"/>
        <w:rPr>
          <w:rFonts w:hint="eastAsia" w:ascii="仿宋_GB2312" w:hAnsi="仿宋" w:eastAsia="仿宋_GB2312"/>
          <w:color w:val="auto"/>
          <w:kern w:val="0"/>
          <w:sz w:val="32"/>
          <w:szCs w:val="32"/>
        </w:rPr>
      </w:pPr>
      <w:r>
        <w:rPr>
          <w:rFonts w:hint="eastAsia" w:ascii="楷体_GB2312" w:hAnsi="楷体_GB2312" w:eastAsia="楷体_GB2312" w:cs="楷体_GB2312"/>
          <w:b w:val="0"/>
          <w:bCs/>
          <w:color w:val="auto"/>
          <w:sz w:val="32"/>
          <w:szCs w:val="32"/>
          <w:lang w:eastAsia="zh-CN"/>
        </w:rPr>
        <w:t>全力推进扫黑除恶专项斗争。</w:t>
      </w:r>
      <w:r>
        <w:rPr>
          <w:rFonts w:hint="eastAsia" w:ascii="仿宋_GB2312" w:hAnsi="仿宋_GB2312" w:eastAsia="仿宋_GB2312" w:cs="仿宋_GB2312"/>
          <w:color w:val="auto"/>
          <w:sz w:val="32"/>
          <w:szCs w:val="32"/>
          <w:lang w:eastAsia="zh-CN"/>
        </w:rPr>
        <w:t>坚持工作前移、引导侦查、诉前主导、审前过滤、跟踪监督、严把法律政策关，</w:t>
      </w:r>
      <w:r>
        <w:rPr>
          <w:rFonts w:hint="eastAsia" w:ascii="仿宋_GB2312" w:hAnsi="仿宋_GB2312" w:eastAsia="仿宋_GB2312" w:cs="仿宋_GB2312"/>
          <w:color w:val="auto"/>
          <w:sz w:val="32"/>
          <w:szCs w:val="32"/>
          <w:shd w:val="clear" w:color="auto" w:fill="FFFFFF"/>
          <w:lang w:eastAsia="zh-CN"/>
        </w:rPr>
        <w:t>坚持“</w:t>
      </w:r>
      <w:r>
        <w:rPr>
          <w:rFonts w:hint="eastAsia" w:ascii="仿宋_GB2312" w:hAnsi="仿宋_GB2312" w:eastAsia="仿宋_GB2312" w:cs="仿宋_GB2312"/>
          <w:color w:val="auto"/>
          <w:sz w:val="32"/>
          <w:szCs w:val="32"/>
          <w:lang w:eastAsia="zh-CN"/>
        </w:rPr>
        <w:t>是黑恶犯罪一个不放过，不是黑恶犯罪一个不凑数”。</w:t>
      </w:r>
      <w:r>
        <w:rPr>
          <w:rFonts w:hint="eastAsia" w:ascii="仿宋_GB2312" w:hAnsi="仿宋_GB2312" w:eastAsia="仿宋_GB2312" w:cs="仿宋_GB2312"/>
          <w:color w:val="auto"/>
          <w:sz w:val="32"/>
          <w:szCs w:val="32"/>
          <w:shd w:val="clear" w:color="auto" w:fill="FFFFFF"/>
        </w:rPr>
        <w:t>重点打击威胁政治安全、与“三股势力”相交织以及“路霸”“矿霸”“市霸”“村霸”等涉黑涉恶案件</w:t>
      </w:r>
      <w:r>
        <w:rPr>
          <w:rFonts w:hint="eastAsia" w:ascii="仿宋_GB2312" w:hAnsi="仿宋_GB2312" w:eastAsia="仿宋_GB2312" w:cs="仿宋_GB2312"/>
          <w:color w:val="auto"/>
          <w:sz w:val="32"/>
          <w:szCs w:val="32"/>
          <w:lang w:eastAsia="zh-CN"/>
        </w:rPr>
        <w:t>。</w:t>
      </w:r>
      <w:r>
        <w:rPr>
          <w:rFonts w:hint="eastAsia" w:ascii="仿宋_GB2312" w:hAnsi="宋体" w:eastAsia="仿宋_GB2312"/>
          <w:color w:val="auto"/>
          <w:sz w:val="32"/>
          <w:szCs w:val="32"/>
        </w:rPr>
        <w:t>共</w:t>
      </w:r>
      <w:r>
        <w:rPr>
          <w:rFonts w:hint="eastAsia" w:ascii="仿宋_GB2312" w:hAnsi="宋体" w:eastAsia="仿宋_GB2312"/>
          <w:color w:val="auto"/>
          <w:sz w:val="32"/>
          <w:szCs w:val="32"/>
          <w:lang w:eastAsia="zh-CN"/>
        </w:rPr>
        <w:t>批准</w:t>
      </w:r>
      <w:r>
        <w:rPr>
          <w:rFonts w:hint="eastAsia" w:ascii="仿宋_GB2312" w:hAnsi="宋体" w:eastAsia="仿宋_GB2312"/>
          <w:color w:val="auto"/>
          <w:sz w:val="32"/>
          <w:szCs w:val="32"/>
        </w:rPr>
        <w:t>逮捕</w:t>
      </w:r>
      <w:r>
        <w:rPr>
          <w:rFonts w:hint="eastAsia" w:ascii="仿宋_GB2312" w:hAnsi="宋体" w:eastAsia="仿宋_GB2312"/>
          <w:color w:val="auto"/>
          <w:sz w:val="32"/>
          <w:szCs w:val="32"/>
          <w:lang w:eastAsia="zh-CN"/>
        </w:rPr>
        <w:t>涉黑</w:t>
      </w:r>
      <w:r>
        <w:rPr>
          <w:rFonts w:hint="eastAsia" w:ascii="仿宋_GB2312" w:hAnsi="宋体" w:eastAsia="仿宋_GB2312"/>
          <w:color w:val="auto"/>
          <w:sz w:val="32"/>
          <w:szCs w:val="32"/>
        </w:rPr>
        <w:t>涉恶案件</w:t>
      </w:r>
      <w:r>
        <w:rPr>
          <w:rFonts w:hint="eastAsia" w:ascii="仿宋_GB2312" w:hAnsi="宋体" w:eastAsia="仿宋_GB2312"/>
          <w:color w:val="auto"/>
          <w:sz w:val="32"/>
          <w:szCs w:val="32"/>
          <w:lang w:eastAsia="zh-CN"/>
        </w:rPr>
        <w:t>犯罪嫌疑人</w:t>
      </w:r>
      <w:r>
        <w:rPr>
          <w:rFonts w:hint="eastAsia" w:ascii="仿宋_GB2312" w:hAnsi="宋体" w:eastAsia="仿宋_GB2312"/>
          <w:color w:val="auto"/>
          <w:sz w:val="32"/>
          <w:szCs w:val="32"/>
          <w:lang w:val="en-US" w:eastAsia="zh-CN"/>
        </w:rPr>
        <w:t>10人</w:t>
      </w:r>
      <w:r>
        <w:rPr>
          <w:rFonts w:hint="eastAsia" w:ascii="仿宋_GB2312" w:hAnsi="宋体" w:eastAsia="仿宋_GB2312"/>
          <w:color w:val="auto"/>
          <w:sz w:val="32"/>
          <w:szCs w:val="32"/>
        </w:rPr>
        <w:t>，</w:t>
      </w:r>
      <w:r>
        <w:rPr>
          <w:rFonts w:hint="eastAsia" w:ascii="仿宋_GB2312" w:hAnsi="宋体" w:eastAsia="仿宋_GB2312" w:cs="方正仿宋简体"/>
          <w:color w:val="auto"/>
          <w:sz w:val="32"/>
          <w:szCs w:val="32"/>
        </w:rPr>
        <w:t>提</w:t>
      </w:r>
      <w:r>
        <w:rPr>
          <w:rFonts w:hint="eastAsia" w:ascii="仿宋_GB2312" w:hAnsi="宋体" w:eastAsia="仿宋_GB2312" w:cs="方正仿宋简体"/>
          <w:color w:val="auto"/>
          <w:sz w:val="32"/>
          <w:szCs w:val="32"/>
        </w:rPr>
        <w:t>起公诉</w:t>
      </w:r>
      <w:r>
        <w:rPr>
          <w:rFonts w:hint="eastAsia" w:ascii="仿宋_GB2312" w:hAnsi="宋体" w:eastAsia="仿宋_GB2312" w:cs="方正仿宋简体"/>
          <w:color w:val="auto"/>
          <w:sz w:val="32"/>
          <w:szCs w:val="32"/>
          <w:lang w:val="en-US" w:eastAsia="zh-CN"/>
        </w:rPr>
        <w:t>13</w:t>
      </w:r>
      <w:r>
        <w:rPr>
          <w:rFonts w:hint="eastAsia" w:ascii="仿宋_GB2312" w:hAnsi="宋体" w:eastAsia="仿宋_GB2312" w:cs="方正仿宋简体"/>
          <w:color w:val="auto"/>
          <w:sz w:val="32"/>
          <w:szCs w:val="32"/>
        </w:rPr>
        <w:t>人</w:t>
      </w:r>
      <w:r>
        <w:rPr>
          <w:rFonts w:hint="eastAsia" w:ascii="仿宋_GB2312" w:hAnsi="宋体" w:eastAsia="仿宋_GB2312" w:cs="方正仿宋简体"/>
          <w:color w:val="auto"/>
          <w:sz w:val="32"/>
          <w:szCs w:val="32"/>
        </w:rPr>
        <w:t>，均为有罪判决</w:t>
      </w:r>
      <w:r>
        <w:rPr>
          <w:rFonts w:hint="eastAsia" w:ascii="仿宋_GB2312" w:hAnsi="宋体" w:eastAsia="仿宋_GB2312" w:cs="方正仿宋简体"/>
          <w:color w:val="auto"/>
          <w:sz w:val="32"/>
          <w:szCs w:val="32"/>
          <w:lang w:eastAsia="zh-CN"/>
        </w:rPr>
        <w:t>，</w:t>
      </w:r>
      <w:r>
        <w:rPr>
          <w:rFonts w:hint="eastAsia" w:ascii="仿宋_GB2312" w:hAnsi="宋体" w:eastAsia="仿宋_GB2312" w:cs="方正仿宋简体"/>
          <w:color w:val="auto"/>
          <w:sz w:val="32"/>
          <w:szCs w:val="32"/>
        </w:rPr>
        <w:t>量刑采纳率为</w:t>
      </w:r>
      <w:r>
        <w:rPr>
          <w:rFonts w:ascii="仿宋_GB2312" w:hAnsi="宋体" w:eastAsia="仿宋_GB2312" w:cs="方正仿宋简体"/>
          <w:color w:val="auto"/>
          <w:sz w:val="32"/>
          <w:szCs w:val="32"/>
        </w:rPr>
        <w:t>100%</w:t>
      </w:r>
      <w:r>
        <w:rPr>
          <w:rFonts w:hint="eastAsia" w:ascii="仿宋_GB2312" w:hAnsi="宋体" w:eastAsia="仿宋_GB2312" w:cs="方正仿宋简体"/>
          <w:color w:val="auto"/>
          <w:sz w:val="32"/>
          <w:szCs w:val="32"/>
          <w:lang w:eastAsia="zh-CN"/>
        </w:rPr>
        <w:t>。</w:t>
      </w:r>
      <w:r>
        <w:rPr>
          <w:rFonts w:hint="eastAsia" w:ascii="仿宋_GB2312" w:hAnsi="宋体" w:eastAsia="仿宋_GB2312" w:cs="方正仿宋简体"/>
          <w:color w:val="auto"/>
          <w:sz w:val="32"/>
          <w:szCs w:val="32"/>
          <w:lang w:eastAsia="zh-CN"/>
        </w:rPr>
        <w:t>坚持深挖彻查、</w:t>
      </w:r>
      <w:r>
        <w:rPr>
          <w:rFonts w:hint="eastAsia" w:ascii="仿宋_GB2312" w:hAnsi="方正仿宋简体" w:eastAsia="仿宋_GB2312" w:cs="方正仿宋简体"/>
          <w:color w:val="auto"/>
          <w:sz w:val="32"/>
          <w:szCs w:val="32"/>
        </w:rPr>
        <w:t>“断血</w:t>
      </w:r>
      <w:r>
        <w:rPr>
          <w:rFonts w:hint="eastAsia" w:ascii="仿宋_GB2312" w:hAnsi="方正仿宋简体" w:eastAsia="仿宋_GB2312" w:cs="方正仿宋简体"/>
          <w:color w:val="auto"/>
          <w:sz w:val="32"/>
          <w:szCs w:val="32"/>
          <w:lang w:eastAsia="zh-CN"/>
        </w:rPr>
        <w:t>铲土</w:t>
      </w:r>
      <w:r>
        <w:rPr>
          <w:rFonts w:hint="eastAsia" w:ascii="仿宋_GB2312" w:hAnsi="方正仿宋简体" w:eastAsia="仿宋_GB2312" w:cs="方正仿宋简体"/>
          <w:color w:val="auto"/>
          <w:sz w:val="32"/>
          <w:szCs w:val="32"/>
        </w:rPr>
        <w:t>”</w:t>
      </w:r>
      <w:r>
        <w:rPr>
          <w:rFonts w:hint="eastAsia" w:ascii="仿宋_GB2312" w:hAnsi="方正仿宋简体" w:eastAsia="仿宋_GB2312" w:cs="方正仿宋简体"/>
          <w:color w:val="auto"/>
          <w:sz w:val="32"/>
          <w:szCs w:val="32"/>
          <w:lang w:eastAsia="zh-CN"/>
        </w:rPr>
        <w:t>，对</w:t>
      </w:r>
      <w:r>
        <w:rPr>
          <w:rFonts w:hint="eastAsia" w:ascii="仿宋_GB2312" w:hAnsi="方正仿宋简体" w:eastAsia="仿宋_GB2312" w:cs="方正仿宋简体"/>
          <w:color w:val="auto"/>
          <w:sz w:val="32"/>
          <w:szCs w:val="32"/>
        </w:rPr>
        <w:t>其他涉</w:t>
      </w:r>
      <w:r>
        <w:rPr>
          <w:rFonts w:hint="eastAsia" w:ascii="仿宋_GB2312" w:hAnsi="方正仿宋简体" w:eastAsia="仿宋_GB2312" w:cs="方正仿宋简体"/>
          <w:color w:val="auto"/>
          <w:sz w:val="32"/>
          <w:szCs w:val="32"/>
          <w:lang w:eastAsia="zh-CN"/>
        </w:rPr>
        <w:t>黑涉恶</w:t>
      </w:r>
      <w:r>
        <w:rPr>
          <w:rFonts w:hint="eastAsia" w:ascii="仿宋_GB2312" w:hAnsi="方正仿宋简体" w:eastAsia="仿宋_GB2312" w:cs="方正仿宋简体"/>
          <w:color w:val="auto"/>
          <w:sz w:val="32"/>
          <w:szCs w:val="32"/>
        </w:rPr>
        <w:t>案</w:t>
      </w:r>
      <w:r>
        <w:rPr>
          <w:rFonts w:hint="eastAsia" w:ascii="仿宋_GB2312" w:hAnsi="方正仿宋简体" w:eastAsia="仿宋_GB2312" w:cs="方正仿宋简体"/>
          <w:color w:val="auto"/>
          <w:sz w:val="32"/>
          <w:szCs w:val="32"/>
          <w:lang w:eastAsia="zh-CN"/>
        </w:rPr>
        <w:t>件</w:t>
      </w:r>
      <w:r>
        <w:rPr>
          <w:rFonts w:hint="eastAsia" w:ascii="仿宋_GB2312" w:hAnsi="方正仿宋简体" w:eastAsia="仿宋_GB2312" w:cs="方正仿宋简体"/>
          <w:color w:val="auto"/>
          <w:sz w:val="32"/>
          <w:szCs w:val="32"/>
        </w:rPr>
        <w:t>、违法人员的处理情况，先后</w:t>
      </w:r>
      <w:r>
        <w:rPr>
          <w:rFonts w:hint="eastAsia" w:ascii="仿宋_GB2312" w:hAnsi="方正仿宋简体" w:eastAsia="仿宋_GB2312" w:cs="方正仿宋简体"/>
          <w:color w:val="auto"/>
          <w:sz w:val="32"/>
          <w:szCs w:val="32"/>
          <w:lang w:eastAsia="zh-CN"/>
        </w:rPr>
        <w:t>向审判机关、侦查机关</w:t>
      </w:r>
      <w:r>
        <w:rPr>
          <w:rFonts w:hint="eastAsia" w:ascii="仿宋_GB2312" w:hAnsi="方正仿宋简体" w:eastAsia="仿宋_GB2312" w:cs="方正仿宋简体"/>
          <w:color w:val="auto"/>
          <w:sz w:val="32"/>
          <w:szCs w:val="32"/>
        </w:rPr>
        <w:t>发</w:t>
      </w:r>
      <w:r>
        <w:rPr>
          <w:rFonts w:hint="eastAsia" w:ascii="仿宋_GB2312" w:hAnsi="方正仿宋简体" w:eastAsia="仿宋_GB2312" w:cs="方正仿宋简体"/>
          <w:color w:val="auto"/>
          <w:sz w:val="32"/>
          <w:szCs w:val="32"/>
          <w:lang w:eastAsia="zh-CN"/>
        </w:rPr>
        <w:t>出</w:t>
      </w:r>
      <w:r>
        <w:rPr>
          <w:rFonts w:ascii="仿宋_GB2312" w:hAnsi="方正仿宋简体" w:eastAsia="仿宋_GB2312" w:cs="方正仿宋简体"/>
          <w:color w:val="auto"/>
          <w:sz w:val="32"/>
          <w:szCs w:val="32"/>
        </w:rPr>
        <w:t>4</w:t>
      </w:r>
      <w:r>
        <w:rPr>
          <w:rFonts w:hint="eastAsia" w:ascii="仿宋_GB2312" w:hAnsi="方正仿宋简体" w:eastAsia="仿宋_GB2312" w:cs="方正仿宋简体"/>
          <w:color w:val="auto"/>
          <w:sz w:val="32"/>
          <w:szCs w:val="32"/>
        </w:rPr>
        <w:t>份《检察建议书》。</w:t>
      </w:r>
      <w:r>
        <w:rPr>
          <w:rFonts w:hint="eastAsia" w:ascii="仿宋_GB2312" w:hAnsi="宋体" w:eastAsia="仿宋_GB2312" w:cs="方正仿宋简体"/>
          <w:color w:val="auto"/>
          <w:sz w:val="32"/>
          <w:szCs w:val="32"/>
          <w:lang w:eastAsia="zh-CN"/>
        </w:rPr>
        <w:t>坚持“破网打伞”“过筛过箩”，</w:t>
      </w:r>
      <w:r>
        <w:rPr>
          <w:rFonts w:hint="eastAsia" w:ascii="仿宋_GB2312" w:hAnsi="宋体" w:eastAsia="仿宋_GB2312" w:cs="方正仿宋简体"/>
          <w:color w:val="auto"/>
          <w:sz w:val="32"/>
          <w:szCs w:val="32"/>
          <w:lang w:eastAsia="zh-CN"/>
        </w:rPr>
        <w:t>从源头上防止黑恶势力滋生蔓延</w:t>
      </w:r>
      <w:r>
        <w:rPr>
          <w:rFonts w:hint="eastAsia" w:ascii="仿宋_GB2312" w:hAnsi="仿宋" w:eastAsia="仿宋_GB2312"/>
          <w:color w:val="auto"/>
          <w:kern w:val="0"/>
          <w:sz w:val="32"/>
          <w:szCs w:val="32"/>
        </w:rPr>
        <w:t>，</w:t>
      </w:r>
      <w:r>
        <w:rPr>
          <w:rFonts w:hint="eastAsia" w:ascii="仿宋_GB2312" w:hAnsi="仿宋" w:eastAsia="仿宋_GB2312"/>
          <w:color w:val="auto"/>
          <w:kern w:val="0"/>
          <w:sz w:val="32"/>
          <w:szCs w:val="32"/>
          <w:lang w:eastAsia="zh-CN"/>
        </w:rPr>
        <w:t>对近三年已办案件逐件“一案三查”，发现并</w:t>
      </w:r>
      <w:r>
        <w:rPr>
          <w:rFonts w:hint="eastAsia" w:ascii="仿宋_GB2312" w:hAnsi="方正仿宋简体" w:eastAsia="仿宋_GB2312" w:cs="方正仿宋简体"/>
          <w:color w:val="auto"/>
          <w:sz w:val="32"/>
          <w:szCs w:val="32"/>
        </w:rPr>
        <w:t>移</w:t>
      </w:r>
      <w:r>
        <w:rPr>
          <w:rFonts w:hint="eastAsia" w:ascii="仿宋_GB2312" w:hAnsi="方正仿宋简体" w:eastAsia="仿宋_GB2312" w:cs="方正仿宋简体"/>
          <w:color w:val="auto"/>
          <w:sz w:val="32"/>
          <w:szCs w:val="32"/>
          <w:lang w:eastAsia="zh-CN"/>
        </w:rPr>
        <w:t>送相关</w:t>
      </w:r>
      <w:r>
        <w:rPr>
          <w:rFonts w:hint="eastAsia" w:ascii="仿宋_GB2312" w:hAnsi="方正仿宋简体" w:eastAsia="仿宋_GB2312" w:cs="方正仿宋简体"/>
          <w:color w:val="auto"/>
          <w:sz w:val="32"/>
          <w:szCs w:val="32"/>
        </w:rPr>
        <w:t>线索3条</w:t>
      </w:r>
      <w:r>
        <w:rPr>
          <w:rFonts w:hint="eastAsia" w:ascii="仿宋_GB2312" w:hAnsi="仿宋" w:eastAsia="仿宋_GB2312"/>
          <w:color w:val="auto"/>
          <w:kern w:val="0"/>
          <w:sz w:val="32"/>
          <w:szCs w:val="32"/>
        </w:rPr>
        <w:t>。</w:t>
      </w:r>
    </w:p>
    <w:p>
      <w:pPr>
        <w:keepNext w:val="0"/>
        <w:keepLines w:val="0"/>
        <w:pageBreakBefore w:val="0"/>
        <w:kinsoku/>
        <w:wordWrap/>
        <w:topLinePunct w:val="0"/>
        <w:autoSpaceDN/>
        <w:bidi w:val="0"/>
        <w:spacing w:line="560" w:lineRule="exact"/>
        <w:ind w:firstLine="640" w:firstLineChars="200"/>
        <w:rPr>
          <w:rFonts w:ascii="仿宋_GB2312" w:eastAsia="仿宋_GB2312"/>
          <w:color w:val="auto"/>
          <w:sz w:val="32"/>
          <w:szCs w:val="32"/>
        </w:rPr>
      </w:pPr>
      <w:r>
        <w:rPr>
          <w:rFonts w:hint="eastAsia" w:ascii="楷体_GB2312" w:hAnsi="楷体_GB2312" w:eastAsia="楷体_GB2312" w:cs="楷体_GB2312"/>
          <w:b w:val="0"/>
          <w:bCs w:val="0"/>
          <w:i w:val="0"/>
          <w:caps w:val="0"/>
          <w:color w:val="auto"/>
          <w:spacing w:val="0"/>
          <w:sz w:val="32"/>
          <w:szCs w:val="32"/>
          <w:lang w:eastAsia="zh-CN"/>
        </w:rPr>
        <w:t>致力服务打好“三大攻坚战”</w:t>
      </w:r>
      <w:r>
        <w:rPr>
          <w:rFonts w:hint="eastAsia" w:ascii="楷体_GB2312" w:hAnsi="楷体_GB2312" w:eastAsia="楷体_GB2312" w:cs="楷体_GB2312"/>
          <w:b/>
          <w:bCs/>
          <w:i w:val="0"/>
          <w:caps w:val="0"/>
          <w:color w:val="auto"/>
          <w:spacing w:val="0"/>
          <w:sz w:val="32"/>
          <w:szCs w:val="32"/>
          <w:lang w:eastAsia="zh-CN"/>
        </w:rPr>
        <w:t>。</w:t>
      </w:r>
      <w:r>
        <w:rPr>
          <w:rFonts w:hint="eastAsia" w:ascii="仿宋_GB2312" w:hAnsi="仿宋_GB2312" w:eastAsia="仿宋_GB2312" w:cs="仿宋_GB2312"/>
          <w:b/>
          <w:bCs/>
          <w:i w:val="0"/>
          <w:caps w:val="0"/>
          <w:color w:val="auto"/>
          <w:spacing w:val="0"/>
          <w:sz w:val="32"/>
          <w:szCs w:val="32"/>
          <w:lang w:eastAsia="zh-CN"/>
        </w:rPr>
        <w:t>全力防范化解重大风险。</w:t>
      </w:r>
      <w:r>
        <w:rPr>
          <w:rFonts w:hint="eastAsia" w:ascii="仿宋_GB2312" w:hAnsi="仿宋_GB2312" w:eastAsia="仿宋_GB2312" w:cs="仿宋_GB2312"/>
          <w:b w:val="0"/>
          <w:bCs w:val="0"/>
          <w:i w:val="0"/>
          <w:caps w:val="0"/>
          <w:color w:val="auto"/>
          <w:spacing w:val="0"/>
          <w:sz w:val="32"/>
          <w:szCs w:val="32"/>
          <w:lang w:eastAsia="zh-CN"/>
        </w:rPr>
        <w:t>坚持把司法办案与维护稳定相结合，</w:t>
      </w:r>
      <w:r>
        <w:rPr>
          <w:rFonts w:hint="eastAsia" w:ascii="仿宋_GB2312" w:eastAsia="仿宋_GB2312"/>
          <w:color w:val="auto"/>
          <w:sz w:val="32"/>
          <w:szCs w:val="32"/>
        </w:rPr>
        <w:t>积极参与互联网金融风险专项整治，依法严惩非法集资、电信网络诈骗</w:t>
      </w:r>
      <w:r>
        <w:rPr>
          <w:rFonts w:hint="eastAsia" w:ascii="仿宋_GB2312" w:eastAsia="仿宋_GB2312"/>
          <w:color w:val="auto"/>
          <w:sz w:val="32"/>
          <w:szCs w:val="32"/>
          <w:lang w:eastAsia="zh-CN"/>
        </w:rPr>
        <w:t>、</w:t>
      </w:r>
      <w:r>
        <w:rPr>
          <w:rFonts w:hint="eastAsia" w:ascii="仿宋_GB2312" w:eastAsia="仿宋_GB2312"/>
          <w:color w:val="auto"/>
          <w:sz w:val="32"/>
          <w:szCs w:val="32"/>
        </w:rPr>
        <w:t>非法吸收公众存款等影响人民群众</w:t>
      </w:r>
      <w:r>
        <w:rPr>
          <w:rFonts w:hint="eastAsia" w:ascii="仿宋_GB2312" w:eastAsia="仿宋_GB2312"/>
          <w:color w:val="auto"/>
          <w:sz w:val="32"/>
          <w:szCs w:val="32"/>
          <w:lang w:eastAsia="zh-CN"/>
        </w:rPr>
        <w:t>财产安全</w:t>
      </w:r>
      <w:r>
        <w:rPr>
          <w:rFonts w:hint="eastAsia" w:ascii="仿宋_GB2312" w:eastAsia="仿宋_GB2312"/>
          <w:color w:val="auto"/>
          <w:sz w:val="32"/>
          <w:szCs w:val="32"/>
        </w:rPr>
        <w:t>的犯罪</w:t>
      </w:r>
      <w:r>
        <w:rPr>
          <w:rFonts w:hint="eastAsia" w:ascii="仿宋_GB2312" w:eastAsia="仿宋_GB2312"/>
          <w:color w:val="auto"/>
          <w:sz w:val="32"/>
          <w:szCs w:val="32"/>
          <w:lang w:eastAsia="zh-CN"/>
        </w:rPr>
        <w:t>。依法批捕起诉扰乱市场</w:t>
      </w:r>
      <w:r>
        <w:rPr>
          <w:rFonts w:hint="eastAsia" w:ascii="仿宋_GB2312" w:eastAsia="仿宋_GB2312"/>
          <w:color w:val="auto"/>
          <w:sz w:val="32"/>
          <w:szCs w:val="32"/>
          <w:lang w:eastAsia="zh-CN"/>
        </w:rPr>
        <w:t>经济秩序罪</w:t>
      </w:r>
      <w:r>
        <w:rPr>
          <w:rFonts w:hint="eastAsia" w:ascii="仿宋_GB2312" w:eastAsia="仿宋_GB2312"/>
          <w:color w:val="auto"/>
          <w:sz w:val="32"/>
          <w:szCs w:val="32"/>
          <w:lang w:val="en-US" w:eastAsia="zh-CN"/>
        </w:rPr>
        <w:t>24人，信用卡诈骗罪2人。</w:t>
      </w:r>
      <w:r>
        <w:rPr>
          <w:rFonts w:hint="eastAsia" w:ascii="仿宋_GB2312" w:eastAsia="仿宋_GB2312"/>
          <w:b/>
          <w:bCs/>
          <w:color w:val="auto"/>
          <w:sz w:val="32"/>
          <w:szCs w:val="32"/>
          <w:lang w:val="en-US" w:eastAsia="zh-CN"/>
        </w:rPr>
        <w:t>着力</w:t>
      </w:r>
      <w:r>
        <w:rPr>
          <w:rFonts w:hint="eastAsia" w:ascii="仿宋_GB2312" w:hAnsi="仿宋_GB2312" w:eastAsia="仿宋_GB2312" w:cs="仿宋_GB2312"/>
          <w:b/>
          <w:bCs/>
          <w:color w:val="auto"/>
          <w:sz w:val="32"/>
          <w:szCs w:val="32"/>
          <w:lang w:val="en-US" w:eastAsia="zh-CN"/>
        </w:rPr>
        <w:t>守护“蓝天碧水净土”。</w:t>
      </w:r>
      <w:r>
        <w:rPr>
          <w:rFonts w:hint="eastAsia" w:ascii="仿宋_GB2312" w:hAnsi="仿宋_GB2312" w:eastAsia="仿宋_GB2312" w:cs="仿宋_GB2312"/>
          <w:color w:val="auto"/>
          <w:sz w:val="32"/>
          <w:szCs w:val="32"/>
          <w:shd w:val="clear" w:color="auto" w:fill="FFFFFF"/>
        </w:rPr>
        <w:t>积极开展“守护伊犁河流域公益诉讼”专项活动，</w:t>
      </w:r>
      <w:r>
        <w:rPr>
          <w:rFonts w:hint="eastAsia" w:ascii="仿宋_GB2312" w:hAnsi="仿宋_GB2312" w:eastAsia="仿宋_GB2312" w:cs="仿宋_GB2312"/>
          <w:color w:val="auto"/>
          <w:sz w:val="32"/>
          <w:szCs w:val="32"/>
          <w:shd w:val="clear" w:color="auto" w:fill="FFFFFF"/>
          <w:lang w:eastAsia="zh-CN"/>
        </w:rPr>
        <w:t>查办</w:t>
      </w:r>
      <w:r>
        <w:rPr>
          <w:rFonts w:hint="eastAsia" w:ascii="仿宋_GB2312" w:hAnsi="仿宋_GB2312" w:eastAsia="仿宋_GB2312" w:cs="仿宋_GB2312"/>
          <w:color w:val="auto"/>
          <w:sz w:val="32"/>
          <w:szCs w:val="32"/>
          <w:shd w:val="clear" w:color="auto" w:fill="FFFFFF"/>
          <w:lang w:val="en-US" w:eastAsia="zh-CN"/>
        </w:rPr>
        <w:t>污染伊犁河流域生态环境公益诉讼案件32件，有力守护伊犁河流域生态环境。</w:t>
      </w:r>
      <w:r>
        <w:rPr>
          <w:rFonts w:hint="eastAsia" w:eastAsia="仿宋_GB2312"/>
          <w:snapToGrid w:val="0"/>
          <w:color w:val="auto"/>
          <w:kern w:val="0"/>
          <w:sz w:val="32"/>
          <w:szCs w:val="32"/>
          <w:lang w:eastAsia="zh-CN"/>
        </w:rPr>
        <w:t>查办</w:t>
      </w:r>
      <w:r>
        <w:rPr>
          <w:rFonts w:hint="eastAsia" w:ascii="Times New Roman" w:hAnsi="Times New Roman" w:eastAsia="仿宋_GB2312"/>
          <w:snapToGrid w:val="0"/>
          <w:color w:val="auto"/>
          <w:kern w:val="0"/>
          <w:sz w:val="32"/>
          <w:szCs w:val="32"/>
        </w:rPr>
        <w:t>口腔诊所违法排放医疗废水公益诉讼案</w:t>
      </w:r>
      <w:r>
        <w:rPr>
          <w:rFonts w:hint="eastAsia" w:ascii="Times New Roman" w:hAnsi="Times New Roman" w:eastAsia="仿宋_GB2312"/>
          <w:snapToGrid w:val="0"/>
          <w:color w:val="auto"/>
          <w:kern w:val="0"/>
          <w:sz w:val="32"/>
          <w:szCs w:val="32"/>
          <w:lang w:eastAsia="zh-CN"/>
        </w:rPr>
        <w:t>件</w:t>
      </w:r>
      <w:r>
        <w:rPr>
          <w:rFonts w:hint="eastAsia" w:ascii="Times New Roman" w:hAnsi="Times New Roman" w:eastAsia="仿宋_GB2312"/>
          <w:snapToGrid w:val="0"/>
          <w:color w:val="auto"/>
          <w:kern w:val="0"/>
          <w:sz w:val="32"/>
          <w:szCs w:val="32"/>
        </w:rPr>
        <w:t>6起</w:t>
      </w:r>
      <w:r>
        <w:rPr>
          <w:rFonts w:hint="eastAsia" w:ascii="Times New Roman" w:hAnsi="Times New Roman" w:eastAsia="仿宋_GB2312"/>
          <w:snapToGrid w:val="0"/>
          <w:color w:val="auto"/>
          <w:kern w:val="0"/>
          <w:sz w:val="32"/>
          <w:szCs w:val="32"/>
          <w:lang w:eastAsia="zh-CN"/>
        </w:rPr>
        <w:t>，及</w:t>
      </w:r>
      <w:r>
        <w:rPr>
          <w:rFonts w:hint="eastAsia" w:ascii="Times New Roman" w:hAnsi="Times New Roman" w:eastAsia="仿宋_GB2312"/>
          <w:snapToGrid w:val="0"/>
          <w:color w:val="auto"/>
          <w:kern w:val="0"/>
          <w:sz w:val="32"/>
          <w:szCs w:val="32"/>
          <w:lang w:eastAsia="zh-CN"/>
        </w:rPr>
        <w:t>时</w:t>
      </w:r>
      <w:r>
        <w:rPr>
          <w:rFonts w:hint="eastAsia" w:ascii="仿宋_GB2312" w:hAnsi="仿宋_GB2312" w:eastAsia="仿宋_GB2312" w:cs="仿宋_GB2312"/>
          <w:color w:val="auto"/>
          <w:sz w:val="32"/>
          <w:szCs w:val="32"/>
          <w:shd w:val="clear" w:color="auto" w:fill="FFFFFF"/>
          <w:lang w:val="en-US" w:eastAsia="zh-CN"/>
        </w:rPr>
        <w:t>督促县卫健委加</w:t>
      </w:r>
      <w:r>
        <w:rPr>
          <w:rFonts w:hint="eastAsia" w:ascii="仿宋_GB2312" w:hAnsi="仿宋_GB2312" w:eastAsia="仿宋_GB2312" w:cs="仿宋_GB2312"/>
          <w:color w:val="auto"/>
          <w:sz w:val="32"/>
          <w:szCs w:val="32"/>
          <w:shd w:val="clear" w:color="auto" w:fill="FFFFFF"/>
          <w:lang w:val="en-US" w:eastAsia="zh-CN"/>
        </w:rPr>
        <w:t>大整改、监管力度，城内医疗废水、废物污染环境问题得到有效改善。</w:t>
      </w:r>
      <w:r>
        <w:rPr>
          <w:rFonts w:hint="eastAsia" w:ascii="仿宋_GB2312" w:hAnsi="仿宋_GB2312" w:eastAsia="仿宋_GB2312" w:cs="Times New Roman"/>
          <w:b/>
          <w:bCs w:val="0"/>
          <w:color w:val="auto"/>
          <w:sz w:val="32"/>
          <w:szCs w:val="32"/>
        </w:rPr>
        <w:t>助力打好脱贫攻坚战</w:t>
      </w:r>
      <w:r>
        <w:rPr>
          <w:rFonts w:hint="eastAsia" w:ascii="仿宋_GB2312" w:hAnsi="仿宋_GB2312" w:eastAsia="仿宋_GB2312" w:cs="Times New Roman"/>
          <w:b/>
          <w:bCs w:val="0"/>
          <w:color w:val="auto"/>
          <w:sz w:val="32"/>
          <w:szCs w:val="32"/>
          <w:lang w:eastAsia="zh-CN"/>
        </w:rPr>
        <w:t>。</w:t>
      </w:r>
      <w:r>
        <w:rPr>
          <w:rFonts w:hint="eastAsia" w:ascii="仿宋_GB2312" w:hAnsi="仿宋_GB2312" w:eastAsia="仿宋_GB2312"/>
          <w:color w:val="auto"/>
          <w:sz w:val="32"/>
          <w:szCs w:val="32"/>
        </w:rPr>
        <w:t>围绕县委精准脱贫攻坚战略</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充分发挥司法扶贫的特色作用，</w:t>
      </w:r>
      <w:r>
        <w:rPr>
          <w:rFonts w:hint="eastAsia" w:ascii="仿宋_GB2312" w:hAnsi="仿宋_GB2312" w:eastAsia="仿宋_GB2312"/>
          <w:color w:val="auto"/>
          <w:sz w:val="32"/>
          <w:szCs w:val="32"/>
          <w:lang w:eastAsia="zh-CN"/>
        </w:rPr>
        <w:t>将司法救助深度融入精准脱贫，</w:t>
      </w:r>
      <w:r>
        <w:rPr>
          <w:rFonts w:hint="eastAsia" w:ascii="仿宋_GB2312" w:eastAsia="仿宋_GB2312"/>
          <w:color w:val="auto"/>
          <w:sz w:val="32"/>
          <w:szCs w:val="32"/>
          <w:lang w:eastAsia="zh-CN"/>
        </w:rPr>
        <w:t>为</w:t>
      </w:r>
      <w:r>
        <w:rPr>
          <w:rFonts w:hint="eastAsia" w:ascii="仿宋_GB2312" w:eastAsia="仿宋_GB2312"/>
          <w:color w:val="auto"/>
          <w:sz w:val="32"/>
          <w:szCs w:val="32"/>
        </w:rPr>
        <w:t>因案致贫的困难群众发放救助金5000元</w:t>
      </w:r>
      <w:r>
        <w:rPr>
          <w:rFonts w:hint="eastAsia" w:ascii="仿宋_GB2312" w:eastAsia="仿宋_GB2312"/>
          <w:color w:val="auto"/>
          <w:sz w:val="32"/>
          <w:szCs w:val="32"/>
          <w:lang w:eastAsia="zh-CN"/>
        </w:rPr>
        <w:t>，</w:t>
      </w:r>
      <w:r>
        <w:rPr>
          <w:rFonts w:hint="eastAsia" w:ascii="仿宋_GB2312" w:hAnsi="仿宋_GB2312" w:eastAsia="仿宋_GB2312"/>
          <w:color w:val="auto"/>
          <w:sz w:val="32"/>
          <w:szCs w:val="32"/>
        </w:rPr>
        <w:t>切实保障刑事被害人的合法权益</w:t>
      </w:r>
      <w:r>
        <w:rPr>
          <w:rFonts w:hint="eastAsia" w:ascii="仿宋_GB2312" w:eastAsia="仿宋_GB2312"/>
          <w:color w:val="auto"/>
          <w:sz w:val="32"/>
          <w:szCs w:val="32"/>
          <w:lang w:eastAsia="zh-CN"/>
        </w:rPr>
        <w:t>。</w:t>
      </w:r>
      <w:r>
        <w:rPr>
          <w:rFonts w:hint="eastAsia" w:ascii="仿宋_GB2312" w:eastAsia="仿宋_GB2312"/>
          <w:color w:val="auto"/>
          <w:sz w:val="32"/>
          <w:szCs w:val="32"/>
          <w:lang w:eastAsia="zh-CN"/>
        </w:rPr>
        <w:t>向英塔木镇木拉提村小学等学校的贫困儿童捐赠价值</w:t>
      </w:r>
      <w:r>
        <w:rPr>
          <w:rFonts w:hint="eastAsia" w:ascii="仿宋_GB2312" w:eastAsia="仿宋_GB2312"/>
          <w:color w:val="auto"/>
          <w:sz w:val="32"/>
          <w:szCs w:val="32"/>
          <w:lang w:val="en-US" w:eastAsia="zh-CN"/>
        </w:rPr>
        <w:t>5000余</w:t>
      </w:r>
      <w:r>
        <w:rPr>
          <w:rFonts w:hint="eastAsia" w:ascii="仿宋_GB2312" w:eastAsia="仿宋_GB2312"/>
          <w:color w:val="auto"/>
          <w:sz w:val="32"/>
          <w:szCs w:val="32"/>
          <w:lang w:eastAsia="zh-CN"/>
        </w:rPr>
        <w:t>元的书籍和文具。</w:t>
      </w:r>
      <w:r>
        <w:rPr>
          <w:rFonts w:hint="eastAsia" w:ascii="仿宋_GB2312" w:eastAsia="仿宋_GB2312"/>
          <w:b/>
          <w:bCs/>
          <w:color w:val="auto"/>
          <w:sz w:val="32"/>
          <w:szCs w:val="32"/>
          <w:lang w:eastAsia="zh-CN"/>
        </w:rPr>
        <w:t>倾力护航民营经济发展。</w:t>
      </w:r>
      <w:r>
        <w:rPr>
          <w:rFonts w:hint="eastAsia" w:ascii="仿宋_GB2312" w:eastAsia="仿宋_GB2312"/>
          <w:color w:val="auto"/>
          <w:sz w:val="32"/>
          <w:szCs w:val="32"/>
          <w:lang w:eastAsia="zh-CN"/>
        </w:rPr>
        <w:t>认真落实习近平总书记在民营经济座谈会上讲话精神，从服务保障民生、改进执法方式方法、平等保护等方面细化工作措施。</w:t>
      </w:r>
      <w:r>
        <w:rPr>
          <w:rFonts w:hint="eastAsia" w:ascii="仿宋_GB2312" w:hAnsi="仿宋_GB2312" w:eastAsia="仿宋_GB2312" w:cs="仿宋_GB2312"/>
          <w:color w:val="auto"/>
          <w:sz w:val="32"/>
          <w:szCs w:val="32"/>
        </w:rPr>
        <w:t>开展以“检察护航民企发展”主题检察开放日</w:t>
      </w:r>
      <w:r>
        <w:rPr>
          <w:rFonts w:hint="eastAsia" w:ascii="仿宋_GB2312" w:hAnsi="仿宋_GB2312" w:eastAsia="仿宋_GB2312" w:cs="仿宋_GB2312"/>
          <w:color w:val="auto"/>
          <w:sz w:val="32"/>
          <w:szCs w:val="32"/>
          <w:lang w:eastAsia="zh-CN"/>
        </w:rPr>
        <w:t>、召开保护民营经济发展座谈会等形式，主动对接民营企业司法诉求。</w:t>
      </w:r>
      <w:r>
        <w:rPr>
          <w:rFonts w:hint="eastAsia" w:ascii="仿宋_GB2312" w:hAnsi="仿宋_GB2312" w:eastAsia="仿宋_GB2312" w:cs="Times New Roman"/>
          <w:b/>
          <w:bCs w:val="0"/>
          <w:color w:val="auto"/>
          <w:sz w:val="32"/>
          <w:szCs w:val="32"/>
          <w:lang w:eastAsia="zh-CN"/>
        </w:rPr>
        <w:t>努力</w:t>
      </w:r>
      <w:r>
        <w:rPr>
          <w:rFonts w:hint="default" w:ascii="仿宋_GB2312" w:hAnsi="仿宋_GB2312" w:eastAsia="仿宋_GB2312" w:cs="Times New Roman"/>
          <w:b/>
          <w:bCs w:val="0"/>
          <w:color w:val="auto"/>
          <w:sz w:val="32"/>
          <w:szCs w:val="32"/>
        </w:rPr>
        <w:t>服务保障改善民生。</w:t>
      </w:r>
      <w:r>
        <w:rPr>
          <w:rFonts w:hint="eastAsia" w:ascii="仿宋_GB2312" w:eastAsia="仿宋_GB2312"/>
          <w:color w:val="auto"/>
          <w:sz w:val="32"/>
          <w:szCs w:val="32"/>
        </w:rPr>
        <w:t>加大对</w:t>
      </w:r>
      <w:r>
        <w:rPr>
          <w:rFonts w:hint="eastAsia" w:ascii="仿宋_GB2312" w:eastAsia="仿宋_GB2312"/>
          <w:color w:val="auto"/>
          <w:sz w:val="32"/>
          <w:szCs w:val="32"/>
          <w:lang w:eastAsia="zh-CN"/>
        </w:rPr>
        <w:t>食品、药品安全、</w:t>
      </w:r>
      <w:r>
        <w:rPr>
          <w:rFonts w:hint="eastAsia" w:ascii="仿宋_GB2312" w:eastAsia="仿宋_GB2312"/>
          <w:color w:val="auto"/>
          <w:sz w:val="32"/>
          <w:szCs w:val="32"/>
        </w:rPr>
        <w:t>医疗卫生等领域违法犯罪的打击力度。对</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名危害食品安全犯罪嫌疑人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名非法行医犯罪嫌疑人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名非法销售假药犯罪嫌疑人</w:t>
      </w:r>
      <w:r>
        <w:rPr>
          <w:rFonts w:hint="eastAsia" w:ascii="仿宋_GB2312" w:eastAsia="仿宋_GB2312"/>
          <w:color w:val="auto"/>
          <w:sz w:val="32"/>
          <w:szCs w:val="32"/>
          <w:lang w:eastAsia="zh-CN"/>
        </w:rPr>
        <w:t>依法</w:t>
      </w:r>
      <w:r>
        <w:rPr>
          <w:rFonts w:hint="eastAsia" w:ascii="仿宋_GB2312" w:eastAsia="仿宋_GB2312"/>
          <w:color w:val="auto"/>
          <w:sz w:val="32"/>
          <w:szCs w:val="32"/>
        </w:rPr>
        <w:t>提起公诉</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shd w:val="clear" w:color="auto" w:fill="FFFFFF"/>
        </w:rPr>
        <w:t>进一步保障各族人民</w:t>
      </w:r>
      <w:r>
        <w:rPr>
          <w:rFonts w:hint="eastAsia" w:ascii="仿宋_GB2312" w:hAnsi="仿宋_GB2312" w:eastAsia="仿宋_GB2312" w:cs="仿宋_GB2312"/>
          <w:color w:val="auto"/>
          <w:sz w:val="32"/>
          <w:szCs w:val="32"/>
          <w:shd w:val="clear" w:color="auto" w:fill="FFFFFF"/>
          <w:lang w:eastAsia="zh-CN"/>
        </w:rPr>
        <w:t>群众的生命权、健康权。持续</w:t>
      </w:r>
      <w:r>
        <w:rPr>
          <w:rFonts w:hint="eastAsia" w:ascii="仿宋_GB2312" w:eastAsia="仿宋_GB2312"/>
          <w:color w:val="auto"/>
          <w:sz w:val="32"/>
          <w:szCs w:val="32"/>
        </w:rPr>
        <w:t>对2018年办理的92件</w:t>
      </w:r>
      <w:r>
        <w:rPr>
          <w:rFonts w:hint="eastAsia" w:ascii="仿宋_GB2312" w:hAnsi="仿宋_GB2312" w:eastAsia="仿宋_GB2312" w:cs="仿宋_GB2312"/>
          <w:color w:val="auto"/>
          <w:sz w:val="32"/>
          <w:szCs w:val="32"/>
          <w:shd w:val="clear" w:color="auto" w:fill="FFFFFF"/>
          <w:lang w:eastAsia="zh-CN"/>
        </w:rPr>
        <w:t>危害餐饮安全的网络外卖平台</w:t>
      </w:r>
      <w:r>
        <w:rPr>
          <w:rFonts w:hint="eastAsia" w:ascii="仿宋_GB2312" w:eastAsia="仿宋_GB2312"/>
          <w:color w:val="auto"/>
          <w:sz w:val="32"/>
          <w:szCs w:val="32"/>
        </w:rPr>
        <w:t>开展“回头看”</w:t>
      </w:r>
      <w:r>
        <w:rPr>
          <w:rFonts w:hint="eastAsia" w:ascii="仿宋_GB2312" w:hAnsi="仿宋_GB2312" w:eastAsia="仿宋_GB2312" w:cs="仿宋_GB2312"/>
          <w:color w:val="auto"/>
          <w:sz w:val="32"/>
          <w:szCs w:val="32"/>
          <w:shd w:val="clear" w:color="auto" w:fill="FFFFFF"/>
        </w:rPr>
        <w:t>，</w:t>
      </w:r>
      <w:r>
        <w:rPr>
          <w:rFonts w:hint="eastAsia" w:ascii="仿宋_GB2312" w:eastAsia="仿宋_GB2312"/>
          <w:color w:val="auto"/>
          <w:sz w:val="32"/>
          <w:szCs w:val="32"/>
          <w:lang w:eastAsia="zh-CN"/>
        </w:rPr>
        <w:t>进一步保障各族群众在享受便捷生活的同时吃得放心、安心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lang w:val="en-US" w:eastAsia="zh-CN"/>
        </w:rPr>
        <w:t xml:space="preserve">        </w:t>
      </w:r>
    </w:p>
    <w:p>
      <w:pPr>
        <w:keepNext w:val="0"/>
        <w:keepLines w:val="0"/>
        <w:pageBreakBefore w:val="0"/>
        <w:kinsoku/>
        <w:wordWrap/>
        <w:topLinePunct w:val="0"/>
        <w:autoSpaceDN/>
        <w:bidi w:val="0"/>
        <w:adjustRightInd w:val="0"/>
        <w:snapToGrid w:val="0"/>
        <w:spacing w:line="560" w:lineRule="exact"/>
        <w:ind w:firstLine="640" w:firstLineChars="200"/>
        <w:rPr>
          <w:rStyle w:val="11"/>
          <w:rFonts w:hint="eastAsia" w:ascii="黑体" w:hAnsi="黑体" w:eastAsia="黑体" w:cs="黑体"/>
          <w:b w:val="0"/>
          <w:bCs/>
          <w:i w:val="0"/>
          <w:caps w:val="0"/>
          <w:color w:val="auto"/>
          <w:spacing w:val="0"/>
          <w:sz w:val="32"/>
          <w:szCs w:val="32"/>
          <w:lang w:eastAsia="zh-CN"/>
        </w:rPr>
      </w:pPr>
      <w:r>
        <w:rPr>
          <w:rStyle w:val="11"/>
          <w:rFonts w:hint="eastAsia" w:ascii="黑体" w:hAnsi="黑体" w:eastAsia="黑体" w:cs="黑体"/>
          <w:b w:val="0"/>
          <w:bCs/>
          <w:i w:val="0"/>
          <w:caps w:val="0"/>
          <w:color w:val="auto"/>
          <w:spacing w:val="0"/>
          <w:sz w:val="32"/>
          <w:szCs w:val="32"/>
          <w:lang w:eastAsia="zh-CN"/>
        </w:rPr>
        <w:t>三、深入推进平安建设，维护社会和谐稳定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1"/>
          <w:rFonts w:hint="eastAsia" w:ascii="楷体_GB2312" w:hAnsi="楷体_GB2312" w:eastAsia="仿宋_GB2312" w:cs="楷体_GB2312"/>
          <w:i w:val="0"/>
          <w:caps w:val="0"/>
          <w:color w:val="auto"/>
          <w:spacing w:val="0"/>
          <w:sz w:val="32"/>
          <w:szCs w:val="32"/>
          <w:lang w:eastAsia="zh-CN"/>
        </w:rPr>
      </w:pPr>
      <w:r>
        <w:rPr>
          <w:rFonts w:hint="eastAsia" w:ascii="楷体_GB2312" w:hAnsi="楷体_GB2312" w:eastAsia="楷体_GB2312" w:cs="楷体_GB2312"/>
          <w:i w:val="0"/>
          <w:caps w:val="0"/>
          <w:color w:val="auto"/>
          <w:spacing w:val="0"/>
          <w:sz w:val="32"/>
          <w:szCs w:val="32"/>
          <w:lang w:eastAsia="zh-CN"/>
        </w:rPr>
        <w:t>依法打击各类刑事犯罪。</w:t>
      </w:r>
      <w:r>
        <w:rPr>
          <w:rFonts w:hint="eastAsia" w:ascii="仿宋_GB2312" w:hAnsi="仿宋_GB2312" w:eastAsia="仿宋_GB2312"/>
          <w:bCs/>
          <w:color w:val="auto"/>
          <w:sz w:val="32"/>
          <w:szCs w:val="32"/>
        </w:rPr>
        <w:t>牢固树立总体国家安全观，始终把维护稳定作为压倒一切的政治任务、重于泰山的政治责任，切实打好维稳“组合拳”</w:t>
      </w:r>
      <w:r>
        <w:rPr>
          <w:rFonts w:hint="eastAsia" w:ascii="仿宋_GB2312" w:eastAsia="仿宋_GB2312"/>
          <w:color w:val="auto"/>
          <w:sz w:val="32"/>
          <w:szCs w:val="32"/>
          <w:lang w:eastAsia="zh-CN"/>
        </w:rPr>
        <w:t>。</w:t>
      </w:r>
      <w:r>
        <w:rPr>
          <w:rFonts w:hint="default" w:ascii="Times New Roman" w:hAnsi="Times New Roman" w:eastAsia="仿宋_GB2312" w:cs="Times New Roman"/>
          <w:color w:val="auto"/>
          <w:sz w:val="32"/>
          <w:szCs w:val="32"/>
        </w:rPr>
        <w:t>全年</w:t>
      </w:r>
      <w:r>
        <w:rPr>
          <w:rFonts w:hint="eastAsia" w:eastAsia="仿宋_GB2312" w:asciiTheme="minorHAnsi" w:hAnsiTheme="minorHAnsi" w:cstheme="minorBidi"/>
          <w:color w:val="auto"/>
          <w:kern w:val="2"/>
          <w:sz w:val="32"/>
          <w:szCs w:val="32"/>
        </w:rPr>
        <w:t>共受理审查逮捕案件</w:t>
      </w:r>
      <w:r>
        <w:rPr>
          <w:rFonts w:hint="eastAsia" w:eastAsia="仿宋_GB2312" w:asciiTheme="minorHAnsi" w:hAnsiTheme="minorHAnsi" w:cstheme="minorBidi"/>
          <w:color w:val="auto"/>
          <w:kern w:val="2"/>
          <w:sz w:val="32"/>
          <w:szCs w:val="32"/>
          <w:lang w:val="en-US" w:eastAsia="zh-CN"/>
        </w:rPr>
        <w:t>884</w:t>
      </w:r>
      <w:r>
        <w:rPr>
          <w:rFonts w:hint="eastAsia" w:eastAsia="仿宋_GB2312" w:asciiTheme="minorHAnsi" w:hAnsiTheme="minorHAnsi" w:cstheme="minorBidi"/>
          <w:color w:val="auto"/>
          <w:kern w:val="2"/>
          <w:sz w:val="32"/>
          <w:szCs w:val="32"/>
        </w:rPr>
        <w:t>人，与去年同比人数</w:t>
      </w:r>
      <w:r>
        <w:rPr>
          <w:rFonts w:hint="eastAsia" w:eastAsia="仿宋_GB2312" w:cstheme="minorBidi"/>
          <w:color w:val="auto"/>
          <w:kern w:val="2"/>
          <w:sz w:val="32"/>
          <w:szCs w:val="32"/>
          <w:lang w:eastAsia="zh-CN"/>
        </w:rPr>
        <w:t>下降</w:t>
      </w:r>
      <w:r>
        <w:rPr>
          <w:rFonts w:hint="eastAsia" w:eastAsia="仿宋_GB2312" w:cstheme="minorBidi"/>
          <w:color w:val="auto"/>
          <w:kern w:val="2"/>
          <w:sz w:val="32"/>
          <w:szCs w:val="32"/>
          <w:lang w:val="en-US" w:eastAsia="zh-CN"/>
        </w:rPr>
        <w:t xml:space="preserve">57.2 </w:t>
      </w:r>
      <w:r>
        <w:rPr>
          <w:rFonts w:hint="eastAsia" w:eastAsia="仿宋_GB2312" w:asciiTheme="minorHAnsi" w:hAnsiTheme="minorHAnsi" w:cstheme="minorBidi"/>
          <w:color w:val="auto"/>
          <w:kern w:val="2"/>
          <w:sz w:val="32"/>
          <w:szCs w:val="32"/>
        </w:rPr>
        <w:t>%。其中批准逮捕</w:t>
      </w:r>
      <w:r>
        <w:rPr>
          <w:rFonts w:hint="eastAsia" w:eastAsia="仿宋_GB2312" w:cstheme="minorBidi"/>
          <w:color w:val="auto"/>
          <w:kern w:val="2"/>
          <w:sz w:val="32"/>
          <w:szCs w:val="32"/>
          <w:lang w:val="en-US" w:eastAsia="zh-CN"/>
        </w:rPr>
        <w:t>855</w:t>
      </w:r>
      <w:r>
        <w:rPr>
          <w:rFonts w:hint="eastAsia" w:eastAsia="仿宋_GB2312" w:asciiTheme="minorHAnsi" w:hAnsiTheme="minorHAnsi" w:cstheme="minorBidi"/>
          <w:color w:val="auto"/>
          <w:kern w:val="2"/>
          <w:sz w:val="32"/>
          <w:szCs w:val="32"/>
        </w:rPr>
        <w:t>人</w:t>
      </w:r>
      <w:r>
        <w:rPr>
          <w:rFonts w:hint="eastAsia" w:eastAsia="仿宋_GB2312" w:asciiTheme="minorHAnsi" w:hAnsiTheme="minorHAnsi" w:cstheme="minorBidi"/>
          <w:color w:val="auto"/>
          <w:kern w:val="2"/>
          <w:sz w:val="32"/>
          <w:szCs w:val="32"/>
          <w:lang w:eastAsia="zh-CN"/>
        </w:rPr>
        <w:t>，</w:t>
      </w:r>
      <w:r>
        <w:rPr>
          <w:rFonts w:hint="eastAsia" w:eastAsia="仿宋_GB2312" w:asciiTheme="minorHAnsi" w:hAnsiTheme="minorHAnsi" w:cstheme="minorBidi"/>
          <w:color w:val="auto"/>
          <w:kern w:val="2"/>
          <w:sz w:val="32"/>
          <w:szCs w:val="32"/>
        </w:rPr>
        <w:t>不批准逮捕</w:t>
      </w:r>
      <w:r>
        <w:rPr>
          <w:rFonts w:hint="eastAsia" w:eastAsia="仿宋_GB2312" w:cstheme="minorBidi"/>
          <w:color w:val="auto"/>
          <w:kern w:val="2"/>
          <w:sz w:val="32"/>
          <w:szCs w:val="32"/>
          <w:lang w:val="en-US" w:eastAsia="zh-CN"/>
        </w:rPr>
        <w:t>28</w:t>
      </w:r>
      <w:r>
        <w:rPr>
          <w:rFonts w:hint="eastAsia" w:eastAsia="仿宋_GB2312" w:asciiTheme="minorHAnsi" w:hAnsiTheme="minorHAnsi" w:cstheme="minorBidi"/>
          <w:color w:val="auto"/>
          <w:kern w:val="2"/>
          <w:sz w:val="32"/>
          <w:szCs w:val="32"/>
        </w:rPr>
        <w:t>人</w:t>
      </w:r>
      <w:r>
        <w:rPr>
          <w:rFonts w:hint="eastAsia" w:eastAsia="仿宋_GB2312" w:cstheme="minorBidi"/>
          <w:color w:val="auto"/>
          <w:kern w:val="2"/>
          <w:sz w:val="32"/>
          <w:szCs w:val="32"/>
          <w:lang w:eastAsia="zh-CN"/>
        </w:rPr>
        <w:t>；</w:t>
      </w:r>
      <w:r>
        <w:rPr>
          <w:rFonts w:hint="eastAsia" w:eastAsia="仿宋_GB2312" w:asciiTheme="minorHAnsi" w:hAnsiTheme="minorHAnsi" w:cstheme="minorBidi"/>
          <w:color w:val="auto"/>
          <w:kern w:val="2"/>
          <w:sz w:val="32"/>
          <w:szCs w:val="32"/>
        </w:rPr>
        <w:t>受理审查起诉案件</w:t>
      </w:r>
      <w:r>
        <w:rPr>
          <w:rFonts w:hint="eastAsia" w:eastAsia="仿宋_GB2312" w:cstheme="minorBidi"/>
          <w:color w:val="auto"/>
          <w:kern w:val="2"/>
          <w:sz w:val="32"/>
          <w:szCs w:val="32"/>
          <w:lang w:val="en-US" w:eastAsia="zh-CN"/>
        </w:rPr>
        <w:t>1228</w:t>
      </w:r>
      <w:r>
        <w:rPr>
          <w:rFonts w:hint="eastAsia" w:eastAsia="仿宋_GB2312" w:asciiTheme="minorHAnsi" w:hAnsiTheme="minorHAnsi" w:cstheme="minorBidi"/>
          <w:color w:val="auto"/>
          <w:kern w:val="2"/>
          <w:sz w:val="32"/>
          <w:szCs w:val="32"/>
        </w:rPr>
        <w:t>人，与去年同比人数</w:t>
      </w:r>
      <w:r>
        <w:rPr>
          <w:rFonts w:hint="eastAsia" w:eastAsia="仿宋_GB2312" w:cstheme="minorBidi"/>
          <w:color w:val="auto"/>
          <w:kern w:val="2"/>
          <w:sz w:val="32"/>
          <w:szCs w:val="32"/>
          <w:lang w:eastAsia="zh-CN"/>
        </w:rPr>
        <w:t>下降</w:t>
      </w:r>
      <w:r>
        <w:rPr>
          <w:rFonts w:hint="eastAsia" w:eastAsia="仿宋_GB2312" w:cstheme="minorBidi"/>
          <w:color w:val="auto"/>
          <w:kern w:val="2"/>
          <w:sz w:val="32"/>
          <w:szCs w:val="32"/>
          <w:lang w:val="en-US" w:eastAsia="zh-CN"/>
        </w:rPr>
        <w:t>44.6</w:t>
      </w:r>
      <w:r>
        <w:rPr>
          <w:rFonts w:hint="eastAsia" w:eastAsia="仿宋_GB2312" w:asciiTheme="minorHAnsi" w:hAnsiTheme="minorHAnsi" w:cstheme="minorBidi"/>
          <w:color w:val="auto"/>
          <w:kern w:val="2"/>
          <w:sz w:val="32"/>
          <w:szCs w:val="32"/>
        </w:rPr>
        <w:t>%。其中提起公诉</w:t>
      </w:r>
      <w:r>
        <w:rPr>
          <w:rFonts w:hint="eastAsia" w:eastAsia="仿宋_GB2312" w:cstheme="minorBidi"/>
          <w:color w:val="auto"/>
          <w:kern w:val="2"/>
          <w:sz w:val="32"/>
          <w:szCs w:val="32"/>
          <w:lang w:val="en-US" w:eastAsia="zh-CN"/>
        </w:rPr>
        <w:t xml:space="preserve">1064 </w:t>
      </w:r>
      <w:r>
        <w:rPr>
          <w:rFonts w:hint="eastAsia" w:eastAsia="仿宋_GB2312" w:asciiTheme="minorHAnsi" w:hAnsiTheme="minorHAnsi" w:cstheme="minorBidi"/>
          <w:color w:val="auto"/>
          <w:kern w:val="2"/>
          <w:sz w:val="32"/>
          <w:szCs w:val="32"/>
        </w:rPr>
        <w:t>人，不起诉</w:t>
      </w:r>
      <w:r>
        <w:rPr>
          <w:rFonts w:hint="eastAsia" w:eastAsia="仿宋_GB2312" w:cstheme="minorBidi"/>
          <w:color w:val="auto"/>
          <w:kern w:val="2"/>
          <w:sz w:val="32"/>
          <w:szCs w:val="32"/>
          <w:lang w:val="en-US" w:eastAsia="zh-CN"/>
        </w:rPr>
        <w:t>16</w:t>
      </w:r>
      <w:r>
        <w:rPr>
          <w:rFonts w:hint="eastAsia" w:eastAsia="仿宋_GB2312" w:asciiTheme="minorHAnsi" w:hAnsiTheme="minorHAnsi" w:cstheme="minorBidi"/>
          <w:color w:val="auto"/>
          <w:kern w:val="2"/>
          <w:sz w:val="32"/>
          <w:szCs w:val="32"/>
        </w:rPr>
        <w:t>人</w:t>
      </w:r>
      <w:r>
        <w:rPr>
          <w:rFonts w:hint="eastAsia" w:ascii="仿宋_GB2312" w:eastAsia="仿宋_GB2312"/>
          <w:color w:val="auto"/>
          <w:sz w:val="32"/>
          <w:szCs w:val="32"/>
          <w:lang w:eastAsia="zh-CN"/>
        </w:rPr>
        <w:t>。</w:t>
      </w:r>
      <w:r>
        <w:rPr>
          <w:rFonts w:hint="eastAsia" w:ascii="仿宋_GB2312" w:eastAsia="仿宋_GB2312"/>
          <w:color w:val="auto"/>
          <w:sz w:val="32"/>
          <w:szCs w:val="32"/>
          <w:lang w:eastAsia="zh-CN"/>
        </w:rPr>
        <w:t>深化反恐严打专项行动保持力度，</w:t>
      </w:r>
      <w:r>
        <w:rPr>
          <w:rFonts w:hint="eastAsia" w:ascii="仿宋_GB2312" w:eastAsia="仿宋_GB2312"/>
          <w:color w:val="auto"/>
          <w:sz w:val="32"/>
          <w:szCs w:val="32"/>
          <w:lang w:eastAsia="zh-CN"/>
        </w:rPr>
        <w:t>坚持高压威慑，持续推进</w:t>
      </w:r>
      <w:r>
        <w:rPr>
          <w:rFonts w:hint="default" w:ascii="Times New Roman" w:hAnsi="Times New Roman" w:eastAsia="仿宋_GB2312" w:cs="Times New Roman"/>
          <w:color w:val="auto"/>
          <w:sz w:val="32"/>
          <w:szCs w:val="32"/>
        </w:rPr>
        <w:t>“挖减铲”行动</w:t>
      </w:r>
      <w:r>
        <w:rPr>
          <w:rFonts w:hint="eastAsia" w:ascii="仿宋_GB2312" w:eastAsia="仿宋_GB2312"/>
          <w:color w:val="auto"/>
          <w:sz w:val="32"/>
          <w:szCs w:val="32"/>
          <w:lang w:eastAsia="zh-CN"/>
        </w:rPr>
        <w:t>，</w:t>
      </w:r>
      <w:r>
        <w:rPr>
          <w:rFonts w:hint="eastAsia" w:ascii="仿宋_GB2312" w:eastAsia="仿宋_GB2312"/>
          <w:color w:val="auto"/>
          <w:sz w:val="32"/>
          <w:szCs w:val="32"/>
          <w:lang w:eastAsia="zh-CN"/>
        </w:rPr>
        <w:t>通过打得“精准”实现打得“稳狠”</w:t>
      </w:r>
      <w:r>
        <w:rPr>
          <w:rFonts w:hint="eastAsia" w:ascii="仿宋_GB2312" w:eastAsia="仿宋_GB2312"/>
          <w:color w:val="auto"/>
          <w:sz w:val="32"/>
          <w:szCs w:val="32"/>
          <w:lang w:eastAsia="zh-CN"/>
        </w:rPr>
        <w:t>。加强与法院、公安局的统筹力度，</w:t>
      </w:r>
      <w:r>
        <w:rPr>
          <w:rFonts w:hint="default" w:ascii="Times New Roman" w:hAnsi="Times New Roman" w:eastAsia="仿宋_GB2312" w:cs="Times New Roman"/>
          <w:color w:val="auto"/>
          <w:sz w:val="32"/>
          <w:szCs w:val="32"/>
        </w:rPr>
        <w:t>分批次选派业务骨干集中攻坚</w:t>
      </w:r>
      <w:r>
        <w:rPr>
          <w:rFonts w:hint="default" w:ascii="Times New Roman" w:hAnsi="Times New Roman" w:eastAsia="仿宋_GB2312" w:cs="Times New Roman"/>
          <w:color w:val="auto"/>
          <w:sz w:val="32"/>
          <w:szCs w:val="32"/>
        </w:rPr>
        <w:t>，依法快捕快诉了一批涉危安暴恐、涉宗教极端犯罪案件</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确保“严打”工作力度更大、效果更好</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仿宋_GB2312" w:eastAsia="楷体_GB2312" w:cs="仿宋_GB2312"/>
          <w:bCs/>
          <w:color w:val="auto"/>
          <w:sz w:val="32"/>
          <w:szCs w:val="32"/>
          <w:shd w:val="clear" w:color="auto" w:fill="FFFFFF"/>
          <w:lang w:eastAsia="zh-CN"/>
        </w:rPr>
        <w:t>注重未成年人司法保护。</w:t>
      </w:r>
      <w:r>
        <w:rPr>
          <w:rFonts w:hint="default" w:ascii="Times New Roman" w:hAnsi="Times New Roman" w:eastAsia="仿宋_GB2312" w:cs="Times New Roman"/>
          <w:bCs/>
          <w:color w:val="auto"/>
          <w:sz w:val="32"/>
          <w:szCs w:val="32"/>
        </w:rPr>
        <w:t>坚持“捕、诉、监、防</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一体化办案模式，依法严厉打击侵犯未成年人刑事犯罪</w:t>
      </w:r>
      <w:r>
        <w:rPr>
          <w:rFonts w:hint="eastAsia" w:eastAsia="仿宋_GB2312" w:cs="Times New Roman"/>
          <w:bCs/>
          <w:color w:val="auto"/>
          <w:sz w:val="32"/>
          <w:szCs w:val="32"/>
          <w:lang w:val="en-US" w:eastAsia="zh-CN"/>
        </w:rPr>
        <w:t>32人</w:t>
      </w:r>
      <w:r>
        <w:rPr>
          <w:rFonts w:hint="eastAsia" w:eastAsia="仿宋_GB2312" w:cs="Times New Roman"/>
          <w:bCs/>
          <w:color w:val="auto"/>
          <w:sz w:val="32"/>
          <w:szCs w:val="32"/>
          <w:lang w:eastAsia="zh-CN"/>
        </w:rPr>
        <w:t>。</w:t>
      </w:r>
      <w:r>
        <w:rPr>
          <w:rFonts w:hint="eastAsia" w:ascii="仿宋_GB2312" w:hAnsi="黑体" w:eastAsia="仿宋_GB2312"/>
          <w:color w:val="auto"/>
          <w:sz w:val="32"/>
          <w:szCs w:val="32"/>
        </w:rPr>
        <w:t>实行专案专办，</w:t>
      </w:r>
      <w:r>
        <w:rPr>
          <w:rFonts w:hint="eastAsia" w:ascii="仿宋_GB2312" w:hAnsi="仿宋" w:eastAsia="仿宋_GB2312"/>
          <w:color w:val="auto"/>
          <w:kern w:val="0"/>
          <w:sz w:val="32"/>
          <w:szCs w:val="29"/>
        </w:rPr>
        <w:t>主动加强与教育部门的密切联系</w:t>
      </w:r>
      <w:r>
        <w:rPr>
          <w:rFonts w:hint="eastAsia" w:ascii="仿宋_GB2312" w:hAnsi="仿宋" w:eastAsia="仿宋_GB2312"/>
          <w:color w:val="auto"/>
          <w:kern w:val="0"/>
          <w:sz w:val="32"/>
          <w:szCs w:val="29"/>
          <w:lang w:eastAsia="zh-CN"/>
        </w:rPr>
        <w:t>，</w:t>
      </w:r>
      <w:r>
        <w:rPr>
          <w:rFonts w:hint="eastAsia" w:ascii="仿宋_GB2312" w:hAnsi="黑体" w:eastAsia="仿宋_GB2312"/>
          <w:color w:val="auto"/>
          <w:sz w:val="32"/>
          <w:szCs w:val="32"/>
        </w:rPr>
        <w:t>积极落实社会调查、法律援助等制度</w:t>
      </w:r>
      <w:r>
        <w:rPr>
          <w:rFonts w:hint="eastAsia" w:ascii="仿宋_GB2312" w:hAnsi="仿宋" w:eastAsia="仿宋_GB2312"/>
          <w:color w:val="auto"/>
          <w:kern w:val="0"/>
          <w:sz w:val="32"/>
          <w:szCs w:val="29"/>
          <w:lang w:eastAsia="zh-CN"/>
        </w:rPr>
        <w:t>，</w:t>
      </w:r>
      <w:r>
        <w:rPr>
          <w:rFonts w:hint="eastAsia" w:ascii="仿宋_GB2312" w:hAnsi="仿宋_GB2312" w:eastAsia="仿宋_GB2312" w:cs="仿宋_GB2312"/>
          <w:i w:val="0"/>
          <w:caps w:val="0"/>
          <w:color w:val="auto"/>
          <w:spacing w:val="0"/>
          <w:sz w:val="32"/>
          <w:szCs w:val="32"/>
        </w:rPr>
        <w:t>对未成年人中的初犯、偶犯依法不批捕</w:t>
      </w:r>
      <w:r>
        <w:rPr>
          <w:rFonts w:hint="eastAsia" w:ascii="仿宋_GB2312" w:hAnsi="仿宋_GB2312" w:eastAsia="仿宋_GB2312" w:cs="仿宋_GB2312"/>
          <w:i w:val="0"/>
          <w:caps w:val="0"/>
          <w:color w:val="auto"/>
          <w:spacing w:val="0"/>
          <w:sz w:val="32"/>
          <w:szCs w:val="32"/>
          <w:lang w:val="en-US" w:eastAsia="zh-CN"/>
        </w:rPr>
        <w:t>6</w:t>
      </w:r>
      <w:r>
        <w:rPr>
          <w:rFonts w:hint="eastAsia" w:ascii="仿宋_GB2312" w:hAnsi="仿宋_GB2312" w:eastAsia="仿宋_GB2312" w:cs="仿宋_GB2312"/>
          <w:i w:val="0"/>
          <w:caps w:val="0"/>
          <w:color w:val="auto"/>
          <w:spacing w:val="0"/>
          <w:sz w:val="32"/>
          <w:szCs w:val="32"/>
        </w:rPr>
        <w:t>人。</w:t>
      </w:r>
      <w:r>
        <w:rPr>
          <w:rFonts w:hint="eastAsia" w:ascii="仿宋_GB2312" w:hAnsi="仿宋_GB2312" w:eastAsia="仿宋_GB2312" w:cs="仿宋_GB2312"/>
          <w:bCs/>
          <w:color w:val="auto"/>
          <w:sz w:val="32"/>
          <w:szCs w:val="32"/>
          <w:shd w:val="clear" w:color="auto" w:fill="FFFFFF"/>
          <w:lang w:eastAsia="zh-CN"/>
        </w:rPr>
        <w:t>通过</w:t>
      </w:r>
      <w:r>
        <w:rPr>
          <w:rFonts w:hint="eastAsia" w:ascii="仿宋_GB2312" w:hAnsi="仿宋_GB2312" w:eastAsia="仿宋_GB2312" w:cs="仿宋_GB2312"/>
          <w:bCs/>
          <w:color w:val="auto"/>
          <w:sz w:val="32"/>
          <w:szCs w:val="32"/>
          <w:shd w:val="clear" w:color="auto" w:fill="FFFFFF"/>
        </w:rPr>
        <w:t>设立“小天鹅”未成年人检察</w:t>
      </w:r>
      <w:r>
        <w:rPr>
          <w:rFonts w:hint="eastAsia" w:ascii="仿宋_GB2312" w:eastAsia="仿宋_GB2312"/>
          <w:color w:val="auto"/>
          <w:sz w:val="32"/>
          <w:szCs w:val="32"/>
        </w:rPr>
        <w:t>工作室</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法治巡讲进校园</w:t>
      </w:r>
      <w:r>
        <w:rPr>
          <w:rFonts w:hint="eastAsia" w:ascii="仿宋_GB2312" w:hAnsi="仿宋_GB2312" w:eastAsia="仿宋_GB2312" w:cs="仿宋_GB2312"/>
          <w:color w:val="auto"/>
          <w:sz w:val="32"/>
          <w:szCs w:val="32"/>
          <w:lang w:eastAsia="zh-CN"/>
        </w:rPr>
        <w:t>、开展未检主题检察开放日等方式，全面</w:t>
      </w:r>
      <w:r>
        <w:rPr>
          <w:rFonts w:hint="eastAsia" w:ascii="仿宋_GB2312" w:hAnsi="宋体" w:eastAsia="仿宋_GB2312" w:cs="宋体"/>
          <w:color w:val="auto"/>
          <w:sz w:val="32"/>
          <w:szCs w:val="32"/>
          <w:lang w:eastAsia="zh-CN"/>
        </w:rPr>
        <w:t>落实落细最高检</w:t>
      </w:r>
      <w:r>
        <w:rPr>
          <w:rFonts w:hint="eastAsia" w:ascii="仿宋_GB2312" w:hAnsi="仿宋_GB2312" w:eastAsia="仿宋_GB2312" w:cs="仿宋_GB2312"/>
          <w:color w:val="auto"/>
          <w:sz w:val="32"/>
          <w:szCs w:val="32"/>
          <w:lang w:eastAsia="zh-CN"/>
        </w:rPr>
        <w:t>“一号检察建议”</w:t>
      </w:r>
      <w:r>
        <w:rPr>
          <w:rFonts w:hint="eastAsia" w:ascii="仿宋_GB2312" w:hAnsi="仿宋" w:eastAsia="仿宋_GB2312"/>
          <w:color w:val="auto"/>
          <w:kern w:val="0"/>
          <w:sz w:val="32"/>
          <w:szCs w:val="29"/>
          <w:lang w:eastAsia="zh-CN"/>
        </w:rPr>
        <w:t>。</w:t>
      </w:r>
      <w:r>
        <w:rPr>
          <w:rFonts w:hint="eastAsia" w:ascii="仿宋_GB2312" w:hAnsi="仿宋_GB2312" w:eastAsia="仿宋_GB2312"/>
          <w:color w:val="auto"/>
          <w:sz w:val="32"/>
          <w:szCs w:val="32"/>
        </w:rPr>
        <w:t>联合县</w:t>
      </w:r>
      <w:r>
        <w:rPr>
          <w:rFonts w:hint="eastAsia" w:ascii="仿宋_GB2312" w:hAnsi="仿宋_GB2312" w:eastAsia="仿宋_GB2312"/>
          <w:color w:val="auto"/>
          <w:sz w:val="32"/>
          <w:szCs w:val="32"/>
        </w:rPr>
        <w:t>文旅局</w:t>
      </w:r>
      <w:r>
        <w:rPr>
          <w:rFonts w:hint="eastAsia" w:ascii="仿宋_GB2312" w:hAnsi="仿宋_GB2312" w:eastAsia="仿宋_GB2312"/>
          <w:color w:val="auto"/>
          <w:sz w:val="32"/>
          <w:szCs w:val="32"/>
          <w:lang w:eastAsia="zh-CN"/>
        </w:rPr>
        <w:t>对县域各学校</w:t>
      </w:r>
      <w:r>
        <w:rPr>
          <w:rFonts w:hint="eastAsia" w:ascii="仿宋_GB2312" w:hAnsi="仿宋_GB2312" w:eastAsia="仿宋_GB2312"/>
          <w:color w:val="auto"/>
          <w:sz w:val="32"/>
          <w:szCs w:val="32"/>
        </w:rPr>
        <w:t>周边</w:t>
      </w:r>
      <w:r>
        <w:rPr>
          <w:rFonts w:hint="eastAsia" w:ascii="仿宋_GB2312" w:hAnsi="仿宋_GB2312" w:eastAsia="仿宋_GB2312"/>
          <w:color w:val="auto"/>
          <w:sz w:val="32"/>
          <w:szCs w:val="32"/>
          <w:lang w:eastAsia="zh-CN"/>
        </w:rPr>
        <w:t>的商店、</w:t>
      </w:r>
      <w:r>
        <w:rPr>
          <w:rFonts w:hint="eastAsia" w:ascii="仿宋_GB2312" w:hAnsi="仿宋_GB2312" w:eastAsia="仿宋_GB2312"/>
          <w:color w:val="auto"/>
          <w:sz w:val="32"/>
          <w:szCs w:val="32"/>
        </w:rPr>
        <w:t>书店、网吧、台球室</w:t>
      </w:r>
      <w:r>
        <w:rPr>
          <w:rFonts w:hint="eastAsia" w:ascii="仿宋_GB2312" w:hAnsi="仿宋_GB2312" w:eastAsia="仿宋_GB2312"/>
          <w:color w:val="auto"/>
          <w:sz w:val="32"/>
          <w:szCs w:val="32"/>
          <w:lang w:eastAsia="zh-CN"/>
        </w:rPr>
        <w:t>等领域全面开展</w:t>
      </w:r>
      <w:r>
        <w:rPr>
          <w:rFonts w:hint="eastAsia" w:ascii="仿宋_GB2312" w:hAnsi="仿宋_GB2312" w:eastAsia="仿宋_GB2312"/>
          <w:color w:val="auto"/>
          <w:sz w:val="32"/>
          <w:szCs w:val="32"/>
        </w:rPr>
        <w:t>清查</w:t>
      </w:r>
      <w:r>
        <w:rPr>
          <w:rFonts w:hint="eastAsia" w:ascii="仿宋_GB2312" w:hAnsi="仿宋_GB2312" w:eastAsia="仿宋_GB2312"/>
          <w:color w:val="auto"/>
          <w:sz w:val="32"/>
          <w:szCs w:val="32"/>
          <w:lang w:eastAsia="zh-CN"/>
        </w:rPr>
        <w:t>，</w:t>
      </w:r>
      <w:r>
        <w:rPr>
          <w:rFonts w:hint="eastAsia" w:ascii="仿宋_GB2312" w:eastAsia="仿宋_GB2312"/>
          <w:color w:val="auto"/>
          <w:sz w:val="32"/>
          <w:szCs w:val="32"/>
        </w:rPr>
        <w:t>净化未成年人</w:t>
      </w:r>
      <w:r>
        <w:rPr>
          <w:rFonts w:hint="eastAsia" w:ascii="仿宋_GB2312" w:eastAsia="仿宋_GB2312"/>
          <w:color w:val="auto"/>
          <w:sz w:val="32"/>
          <w:szCs w:val="32"/>
          <w:lang w:eastAsia="zh-CN"/>
        </w:rPr>
        <w:t>成长</w:t>
      </w:r>
      <w:r>
        <w:rPr>
          <w:rFonts w:hint="eastAsia" w:ascii="仿宋_GB2312" w:eastAsia="仿宋_GB2312"/>
          <w:color w:val="auto"/>
          <w:sz w:val="32"/>
          <w:szCs w:val="32"/>
        </w:rPr>
        <w:t>环境</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eastAsia="zh-CN"/>
        </w:rPr>
        <w:t>制作关爱未成年人微电影，在中小学校、农牧民夜校多渠道展播，营造全社会关心关爱未成年人的良好氛围。</w:t>
      </w:r>
    </w:p>
    <w:p>
      <w:pPr>
        <w:keepNext w:val="0"/>
        <w:keepLines w:val="0"/>
        <w:pageBreakBefore w:val="0"/>
        <w:kinsoku/>
        <w:wordWrap/>
        <w:topLinePunct w:val="0"/>
        <w:autoSpaceDN/>
        <w:bidi w:val="0"/>
        <w:adjustRightInd w:val="0"/>
        <w:snapToGrid w:val="0"/>
        <w:spacing w:line="560" w:lineRule="exact"/>
        <w:ind w:firstLine="640" w:firstLineChars="200"/>
        <w:rPr>
          <w:rFonts w:hint="eastAsia" w:ascii="仿宋_GB2312" w:hAnsi="仿宋_GB2312" w:eastAsia="仿宋_GB2312" w:cs="仿宋_GB2312"/>
          <w:i w:val="0"/>
          <w:caps w:val="0"/>
          <w:color w:val="auto"/>
          <w:spacing w:val="0"/>
          <w:sz w:val="32"/>
          <w:szCs w:val="32"/>
        </w:rPr>
      </w:pPr>
      <w:r>
        <w:rPr>
          <w:rStyle w:val="11"/>
          <w:rFonts w:hint="eastAsia" w:ascii="楷体_GB2312" w:hAnsi="楷体_GB2312" w:eastAsia="楷体_GB2312" w:cs="楷体_GB2312"/>
          <w:b w:val="0"/>
          <w:bCs/>
          <w:i w:val="0"/>
          <w:caps w:val="0"/>
          <w:color w:val="auto"/>
          <w:spacing w:val="0"/>
          <w:sz w:val="32"/>
          <w:szCs w:val="32"/>
          <w:lang w:eastAsia="zh-CN"/>
        </w:rPr>
        <w:t>助推社会治安综合治理</w:t>
      </w:r>
      <w:r>
        <w:rPr>
          <w:rStyle w:val="11"/>
          <w:rFonts w:hint="eastAsia" w:ascii="楷体_GB2312" w:hAnsi="楷体_GB2312" w:eastAsia="楷体_GB2312" w:cs="楷体_GB2312"/>
          <w:b w:val="0"/>
          <w:bCs/>
          <w:i w:val="0"/>
          <w:caps w:val="0"/>
          <w:color w:val="auto"/>
          <w:spacing w:val="0"/>
          <w:sz w:val="32"/>
          <w:szCs w:val="32"/>
        </w:rPr>
        <w:t>。</w:t>
      </w:r>
      <w:r>
        <w:rPr>
          <w:rStyle w:val="11"/>
          <w:rFonts w:hint="eastAsia" w:ascii="仿宋_GB2312" w:hAnsi="仿宋_GB2312" w:eastAsia="仿宋_GB2312" w:cs="仿宋_GB2312"/>
          <w:b w:val="0"/>
          <w:bCs/>
          <w:i w:val="0"/>
          <w:caps w:val="0"/>
          <w:color w:val="auto"/>
          <w:spacing w:val="0"/>
          <w:sz w:val="32"/>
          <w:szCs w:val="32"/>
          <w:lang w:val="en-US" w:eastAsia="zh-CN"/>
        </w:rPr>
        <w:t>推动涉法涉诉信访机制改革，完善检察长接待、建立健全12309举报电话、律师参与接访等制度，畅通和规范群众诉求表达渠道。</w:t>
      </w:r>
      <w:r>
        <w:rPr>
          <w:rFonts w:hint="eastAsia" w:ascii="仿宋_GB2312" w:hAnsi="仿宋_GB2312" w:eastAsia="仿宋_GB2312" w:cs="仿宋_GB2312"/>
          <w:i w:val="0"/>
          <w:caps w:val="0"/>
          <w:color w:val="auto"/>
          <w:spacing w:val="0"/>
          <w:sz w:val="32"/>
          <w:szCs w:val="32"/>
        </w:rPr>
        <w:t>全面践行新时代“枫桥经验”，</w:t>
      </w:r>
      <w:r>
        <w:rPr>
          <w:rFonts w:hint="eastAsia" w:ascii="仿宋_GB2312" w:hAnsi="仿宋_GB2312" w:eastAsia="仿宋_GB2312" w:cs="仿宋_GB2312"/>
          <w:i w:val="0"/>
          <w:caps w:val="0"/>
          <w:color w:val="auto"/>
          <w:spacing w:val="0"/>
          <w:sz w:val="32"/>
          <w:szCs w:val="32"/>
          <w:lang w:eastAsia="zh-CN"/>
        </w:rPr>
        <w:t>积极、妥善化解检察环节的矛盾纠纷。严格落实“群众来信件件有回复”要求，坚持群众来信“</w:t>
      </w:r>
      <w:r>
        <w:rPr>
          <w:rFonts w:hint="eastAsia" w:ascii="仿宋_GB2312" w:hAnsi="仿宋_GB2312" w:eastAsia="仿宋_GB2312" w:cs="仿宋_GB2312"/>
          <w:i w:val="0"/>
          <w:caps w:val="0"/>
          <w:color w:val="auto"/>
          <w:spacing w:val="0"/>
          <w:sz w:val="32"/>
          <w:szCs w:val="32"/>
          <w:lang w:val="en-US" w:eastAsia="zh-CN"/>
        </w:rPr>
        <w:t>7日内程序性回复、3个月内办理过程或结果答复</w:t>
      </w:r>
      <w:r>
        <w:rPr>
          <w:rFonts w:hint="eastAsia" w:ascii="仿宋_GB2312" w:hAnsi="仿宋_GB2312" w:eastAsia="仿宋_GB2312" w:cs="仿宋_GB2312"/>
          <w:i w:val="0"/>
          <w:caps w:val="0"/>
          <w:color w:val="auto"/>
          <w:spacing w:val="0"/>
          <w:sz w:val="32"/>
          <w:szCs w:val="32"/>
          <w:lang w:eastAsia="zh-CN"/>
        </w:rPr>
        <w:t>”，依法</w:t>
      </w:r>
      <w:r>
        <w:rPr>
          <w:rFonts w:hint="eastAsia" w:ascii="仿宋_GB2312" w:hAnsi="仿宋_GB2312" w:eastAsia="仿宋_GB2312" w:cs="仿宋_GB2312"/>
          <w:i w:val="0"/>
          <w:caps w:val="0"/>
          <w:color w:val="auto"/>
          <w:spacing w:val="0"/>
          <w:sz w:val="32"/>
          <w:szCs w:val="32"/>
        </w:rPr>
        <w:t>办理群众</w:t>
      </w:r>
      <w:r>
        <w:rPr>
          <w:rFonts w:hint="eastAsia" w:ascii="仿宋_GB2312" w:hAnsi="仿宋_GB2312" w:eastAsia="仿宋_GB2312" w:cs="仿宋_GB2312"/>
          <w:i w:val="0"/>
          <w:caps w:val="0"/>
          <w:color w:val="auto"/>
          <w:spacing w:val="0"/>
          <w:sz w:val="32"/>
          <w:szCs w:val="32"/>
          <w:lang w:eastAsia="zh-CN"/>
        </w:rPr>
        <w:t>来信</w:t>
      </w:r>
      <w:r>
        <w:rPr>
          <w:rFonts w:hint="eastAsia" w:ascii="仿宋_GB2312" w:hAnsi="仿宋_GB2312" w:eastAsia="仿宋_GB2312" w:cs="仿宋_GB2312"/>
          <w:i w:val="0"/>
          <w:caps w:val="0"/>
          <w:color w:val="auto"/>
          <w:spacing w:val="0"/>
          <w:sz w:val="32"/>
          <w:szCs w:val="32"/>
        </w:rPr>
        <w:t>来访</w:t>
      </w:r>
      <w:r>
        <w:rPr>
          <w:rFonts w:hint="eastAsia" w:ascii="仿宋_GB2312" w:hAnsi="仿宋_GB2312" w:eastAsia="仿宋_GB2312" w:cs="仿宋_GB2312"/>
          <w:b w:val="0"/>
          <w:bCs w:val="0"/>
          <w:color w:val="auto"/>
          <w:sz w:val="32"/>
          <w:szCs w:val="32"/>
          <w:shd w:val="clear" w:color="auto" w:fill="FFFFFF"/>
          <w:lang w:val="en-US" w:eastAsia="zh-CN"/>
        </w:rPr>
        <w:t>23</w:t>
      </w:r>
      <w:r>
        <w:rPr>
          <w:rFonts w:hint="eastAsia" w:ascii="仿宋_GB2312" w:hAnsi="仿宋_GB2312" w:eastAsia="仿宋_GB2312" w:cs="仿宋_GB2312"/>
          <w:b w:val="0"/>
          <w:bCs w:val="0"/>
          <w:color w:val="auto"/>
          <w:sz w:val="32"/>
          <w:szCs w:val="32"/>
          <w:shd w:val="clear" w:color="auto" w:fill="FFFFFF"/>
        </w:rPr>
        <w:t>件</w:t>
      </w:r>
      <w:r>
        <w:rPr>
          <w:rFonts w:hint="eastAsia" w:ascii="仿宋_GB2312" w:hAnsi="仿宋_GB2312" w:eastAsia="仿宋_GB2312" w:cs="仿宋_GB2312"/>
          <w:b w:val="0"/>
          <w:bCs w:val="0"/>
          <w:color w:val="auto"/>
          <w:sz w:val="32"/>
          <w:szCs w:val="32"/>
          <w:shd w:val="clear" w:color="auto" w:fill="FFFFFF"/>
          <w:lang w:val="en-US" w:eastAsia="zh-CN"/>
        </w:rPr>
        <w:t>43</w:t>
      </w:r>
      <w:r>
        <w:rPr>
          <w:rFonts w:hint="eastAsia" w:ascii="仿宋_GB2312" w:hAnsi="仿宋_GB2312" w:eastAsia="仿宋_GB2312" w:cs="仿宋_GB2312"/>
          <w:b w:val="0"/>
          <w:bCs w:val="0"/>
          <w:color w:val="auto"/>
          <w:sz w:val="32"/>
          <w:szCs w:val="32"/>
          <w:shd w:val="clear" w:color="auto" w:fill="FFFFFF"/>
        </w:rPr>
        <w:t>人次</w:t>
      </w:r>
      <w:r>
        <w:rPr>
          <w:rFonts w:hint="eastAsia" w:ascii="仿宋_GB2312" w:hAnsi="仿宋_GB2312" w:eastAsia="仿宋_GB2312" w:cs="仿宋_GB2312"/>
          <w:b w:val="0"/>
          <w:bCs w:val="0"/>
          <w:color w:val="auto"/>
          <w:sz w:val="32"/>
          <w:szCs w:val="32"/>
          <w:shd w:val="clear" w:color="auto" w:fill="FFFFFF"/>
          <w:lang w:eastAsia="zh-CN"/>
        </w:rPr>
        <w:t>。</w:t>
      </w:r>
    </w:p>
    <w:p>
      <w:pPr>
        <w:keepNext w:val="0"/>
        <w:keepLines w:val="0"/>
        <w:pageBreakBefore w:val="0"/>
        <w:numPr>
          <w:ilvl w:val="0"/>
          <w:numId w:val="1"/>
        </w:numPr>
        <w:kinsoku/>
        <w:wordWrap/>
        <w:topLinePunct w:val="0"/>
        <w:autoSpaceDN/>
        <w:bidi w:val="0"/>
        <w:adjustRightInd w:val="0"/>
        <w:snapToGrid w:val="0"/>
        <w:spacing w:line="560" w:lineRule="exact"/>
        <w:ind w:firstLine="640" w:firstLineChars="20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提升法律监督质效，守护司法公平正义</w:t>
      </w:r>
    </w:p>
    <w:p>
      <w:pPr>
        <w:keepNext w:val="0"/>
        <w:keepLines w:val="0"/>
        <w:pageBreakBefore w:val="0"/>
        <w:kinsoku/>
        <w:wordWrap/>
        <w:topLinePunct w:val="0"/>
        <w:autoSpaceDN/>
        <w:bidi w:val="0"/>
        <w:spacing w:line="560" w:lineRule="exact"/>
        <w:ind w:firstLine="640" w:firstLineChars="200"/>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color w:val="auto"/>
          <w:sz w:val="32"/>
          <w:szCs w:val="32"/>
          <w:lang w:eastAsia="zh-CN"/>
        </w:rPr>
        <w:t>加强</w:t>
      </w:r>
      <w:r>
        <w:rPr>
          <w:rFonts w:hint="eastAsia" w:ascii="楷体_GB2312" w:hAnsi="楷体_GB2312" w:eastAsia="楷体_GB2312" w:cs="楷体_GB2312"/>
          <w:color w:val="auto"/>
          <w:sz w:val="32"/>
          <w:szCs w:val="32"/>
        </w:rPr>
        <w:t>刑事诉讼监督。</w:t>
      </w:r>
      <w:r>
        <w:rPr>
          <w:rStyle w:val="11"/>
          <w:rFonts w:hint="eastAsia" w:ascii="仿宋_GB2312" w:hAnsi="仿宋_GB2312" w:eastAsia="仿宋_GB2312" w:cs="仿宋_GB2312"/>
          <w:b w:val="0"/>
          <w:bCs/>
          <w:i w:val="0"/>
          <w:caps w:val="0"/>
          <w:color w:val="auto"/>
          <w:spacing w:val="0"/>
          <w:sz w:val="32"/>
          <w:szCs w:val="32"/>
          <w:lang w:eastAsia="zh-CN"/>
        </w:rPr>
        <w:t>积极落实认罪认罚从宽制度，与公安局、法院、看守所等部门构建长效工作机制，刑事案件认罪认罚适用率逐步提升，</w:t>
      </w:r>
      <w:r>
        <w:rPr>
          <w:rStyle w:val="11"/>
          <w:rFonts w:hint="eastAsia" w:ascii="仿宋_GB2312" w:hAnsi="仿宋_GB2312" w:eastAsia="仿宋_GB2312" w:cs="仿宋_GB2312"/>
          <w:b w:val="0"/>
          <w:bCs/>
          <w:i w:val="0"/>
          <w:caps w:val="0"/>
          <w:color w:val="auto"/>
          <w:spacing w:val="0"/>
          <w:sz w:val="32"/>
          <w:szCs w:val="32"/>
          <w:lang w:val="en-US" w:eastAsia="zh-CN"/>
        </w:rPr>
        <w:t>235名被告人自愿认罪服判，在检察环节签署具结书，凸显了检察机关在刑事诉讼中的主导地位。</w:t>
      </w:r>
      <w:r>
        <w:rPr>
          <w:rFonts w:hint="eastAsia" w:ascii="仿宋_GB2312" w:hAnsi="仿宋_GB2312" w:eastAsia="仿宋_GB2312" w:cs="仿宋_GB2312"/>
          <w:color w:val="auto"/>
          <w:sz w:val="32"/>
          <w:szCs w:val="32"/>
        </w:rPr>
        <w:t>加强对刑事立案、侦查、审判活动的监督。紧盯有案不立、有罪未</w:t>
      </w:r>
      <w:r>
        <w:rPr>
          <w:rFonts w:hint="eastAsia" w:ascii="仿宋_GB2312" w:hAnsi="仿宋_GB2312" w:eastAsia="仿宋_GB2312" w:cs="仿宋_GB2312"/>
          <w:color w:val="auto"/>
          <w:sz w:val="32"/>
          <w:szCs w:val="32"/>
          <w:lang w:eastAsia="zh-CN"/>
        </w:rPr>
        <w:t>究</w:t>
      </w:r>
      <w:r>
        <w:rPr>
          <w:rFonts w:hint="eastAsia" w:ascii="仿宋_GB2312" w:hAnsi="仿宋_GB2312" w:eastAsia="仿宋_GB2312" w:cs="仿宋_GB2312"/>
          <w:color w:val="auto"/>
          <w:sz w:val="32"/>
          <w:szCs w:val="32"/>
        </w:rPr>
        <w:t>和不当立案等问题，</w:t>
      </w:r>
      <w:r>
        <w:rPr>
          <w:rFonts w:hint="eastAsia" w:ascii="仿宋_GB2312" w:hAnsi="仿宋_GB2312" w:eastAsia="仿宋_GB2312" w:cs="仿宋_GB2312"/>
          <w:i w:val="0"/>
          <w:caps w:val="0"/>
          <w:color w:val="auto"/>
          <w:spacing w:val="0"/>
          <w:sz w:val="32"/>
          <w:szCs w:val="32"/>
        </w:rPr>
        <w:t>监督</w:t>
      </w:r>
      <w:r>
        <w:rPr>
          <w:rFonts w:hint="eastAsia" w:ascii="仿宋_GB2312" w:hAnsi="仿宋_GB2312" w:eastAsia="仿宋_GB2312" w:cs="仿宋_GB2312"/>
          <w:i w:val="0"/>
          <w:caps w:val="0"/>
          <w:color w:val="auto"/>
          <w:spacing w:val="0"/>
          <w:sz w:val="32"/>
          <w:szCs w:val="32"/>
          <w:lang w:eastAsia="zh-CN"/>
        </w:rPr>
        <w:t>侦查机关</w:t>
      </w:r>
      <w:r>
        <w:rPr>
          <w:rFonts w:hint="eastAsia" w:ascii="仿宋_GB2312" w:hAnsi="仿宋_GB2312" w:eastAsia="仿宋_GB2312" w:cs="仿宋_GB2312"/>
          <w:i w:val="0"/>
          <w:caps w:val="0"/>
          <w:color w:val="auto"/>
          <w:spacing w:val="0"/>
          <w:sz w:val="32"/>
          <w:szCs w:val="32"/>
        </w:rPr>
        <w:t>立案</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件</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color w:val="auto"/>
          <w:sz w:val="32"/>
          <w:szCs w:val="32"/>
        </w:rPr>
        <w:t>监督行政执法机关移送案件3件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纠正遗漏同案犯1人，纠正遗漏罪行3人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lang w:eastAsia="zh-CN"/>
        </w:rPr>
        <w:t>向侦查机关和审判机关</w:t>
      </w:r>
      <w:r>
        <w:rPr>
          <w:rFonts w:hint="eastAsia" w:ascii="仿宋_GB2312" w:hAnsi="仿宋_GB2312" w:eastAsia="仿宋_GB2312" w:cs="仿宋_GB2312"/>
          <w:color w:val="auto"/>
          <w:sz w:val="32"/>
          <w:szCs w:val="32"/>
        </w:rPr>
        <w:t>发出检察建议书</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份，纠正违法通知书5份，均收到回复并得到整改</w:t>
      </w:r>
      <w:r>
        <w:rPr>
          <w:rFonts w:hint="eastAsia" w:ascii="仿宋_GB2312" w:hAnsi="仿宋_GB2312" w:eastAsia="仿宋_GB2312" w:cs="仿宋_GB2312"/>
          <w:i w:val="0"/>
          <w:caps w:val="0"/>
          <w:color w:val="auto"/>
          <w:spacing w:val="0"/>
          <w:sz w:val="32"/>
          <w:szCs w:val="32"/>
        </w:rPr>
        <w:t>。</w:t>
      </w:r>
    </w:p>
    <w:p>
      <w:pPr>
        <w:keepNext w:val="0"/>
        <w:keepLines w:val="0"/>
        <w:pageBreakBefore w:val="0"/>
        <w:kinsoku/>
        <w:wordWrap/>
        <w:topLinePunct w:val="0"/>
        <w:autoSpaceDN/>
        <w:bidi w:val="0"/>
        <w:spacing w:line="560" w:lineRule="exact"/>
        <w:ind w:firstLine="640"/>
        <w:jc w:val="left"/>
        <w:rPr>
          <w:rFonts w:ascii="仿宋_GB2312" w:hAnsi="仿宋_GB2312" w:eastAsia="仿宋_GB2312" w:cs="仿宋_GB2312"/>
          <w:color w:val="auto"/>
          <w:sz w:val="32"/>
          <w:szCs w:val="32"/>
        </w:rPr>
      </w:pPr>
      <w:r>
        <w:rPr>
          <w:rFonts w:hint="eastAsia" w:ascii="楷体_GB2312" w:hAnsi="楷体_GB2312" w:eastAsia="楷体_GB2312" w:cs="楷体_GB2312"/>
          <w:b w:val="0"/>
          <w:bCs/>
          <w:color w:val="auto"/>
          <w:sz w:val="32"/>
          <w:szCs w:val="32"/>
        </w:rPr>
        <w:t>加强刑事执行监督。</w:t>
      </w:r>
      <w:r>
        <w:rPr>
          <w:rFonts w:hint="eastAsia" w:ascii="仿宋_GB2312" w:eastAsia="仿宋_GB2312"/>
          <w:color w:val="auto"/>
          <w:sz w:val="32"/>
          <w:szCs w:val="32"/>
        </w:rPr>
        <w:t>依法受理羁押必要性审查案件7件，提请变更强制措施建议7件</w:t>
      </w:r>
      <w:r>
        <w:rPr>
          <w:rFonts w:hint="eastAsia" w:ascii="仿宋_GB2312" w:eastAsia="仿宋_GB2312"/>
          <w:color w:val="auto"/>
          <w:sz w:val="32"/>
          <w:szCs w:val="32"/>
          <w:lang w:eastAsia="zh-CN"/>
        </w:rPr>
        <w:t>，</w:t>
      </w:r>
      <w:r>
        <w:rPr>
          <w:rFonts w:hint="eastAsia" w:ascii="仿宋_GB2312" w:eastAsia="仿宋_GB2312"/>
          <w:color w:val="auto"/>
          <w:sz w:val="32"/>
          <w:szCs w:val="32"/>
        </w:rPr>
        <w:t>依法对1起特赦案件报请、审理、裁定进行全程监督。</w:t>
      </w:r>
      <w:r>
        <w:rPr>
          <w:rFonts w:hint="eastAsia" w:ascii="仿宋_GB2312" w:eastAsia="仿宋_GB2312"/>
          <w:color w:val="auto"/>
          <w:sz w:val="32"/>
          <w:szCs w:val="32"/>
          <w:lang w:eastAsia="zh-CN"/>
        </w:rPr>
        <w:t>向侦查机关、审判机关发出</w:t>
      </w:r>
      <w:r>
        <w:rPr>
          <w:rFonts w:hint="eastAsia" w:ascii="仿宋_GB2312" w:eastAsia="仿宋_GB2312"/>
          <w:color w:val="auto"/>
          <w:sz w:val="32"/>
          <w:szCs w:val="32"/>
          <w:lang w:val="en-US" w:eastAsia="zh-CN"/>
        </w:rPr>
        <w:t>2份</w:t>
      </w:r>
      <w:r>
        <w:rPr>
          <w:rFonts w:hint="eastAsia" w:ascii="仿宋_GB2312" w:eastAsia="仿宋_GB2312"/>
          <w:color w:val="auto"/>
          <w:sz w:val="32"/>
          <w:szCs w:val="32"/>
          <w:lang w:eastAsia="zh-CN"/>
        </w:rPr>
        <w:t>检察建议，监督集中清理</w:t>
      </w:r>
      <w:r>
        <w:rPr>
          <w:rFonts w:hint="eastAsia" w:ascii="仿宋_GB2312" w:hAnsi="新宋体" w:eastAsia="仿宋_GB2312"/>
          <w:color w:val="auto"/>
          <w:sz w:val="32"/>
          <w:szCs w:val="32"/>
        </w:rPr>
        <w:t>纠正判处实刑未执行刑罚</w:t>
      </w:r>
      <w:r>
        <w:rPr>
          <w:rFonts w:hint="eastAsia" w:ascii="仿宋_GB2312" w:hAnsi="新宋体" w:eastAsia="仿宋_GB2312"/>
          <w:color w:val="auto"/>
          <w:sz w:val="32"/>
          <w:szCs w:val="32"/>
          <w:lang w:eastAsia="zh-CN"/>
        </w:rPr>
        <w:t>罪犯</w:t>
      </w:r>
      <w:r>
        <w:rPr>
          <w:rFonts w:hint="eastAsia" w:ascii="仿宋_GB2312" w:hAnsi="新宋体" w:eastAsia="仿宋_GB2312"/>
          <w:color w:val="auto"/>
          <w:sz w:val="32"/>
          <w:szCs w:val="32"/>
          <w:lang w:val="en-US" w:eastAsia="zh-CN"/>
        </w:rPr>
        <w:t>32</w:t>
      </w:r>
      <w:r>
        <w:rPr>
          <w:rFonts w:hint="eastAsia" w:ascii="仿宋_GB2312" w:hAnsi="新宋体" w:eastAsia="仿宋_GB2312"/>
          <w:color w:val="auto"/>
          <w:sz w:val="32"/>
          <w:szCs w:val="32"/>
        </w:rPr>
        <w:t>人。向县司法局发出2份</w:t>
      </w:r>
      <w:r>
        <w:rPr>
          <w:rFonts w:hint="eastAsia" w:ascii="仿宋_GB2312" w:eastAsia="仿宋_GB2312"/>
          <w:color w:val="auto"/>
          <w:sz w:val="32"/>
          <w:szCs w:val="32"/>
        </w:rPr>
        <w:t>收监执行</w:t>
      </w:r>
      <w:r>
        <w:rPr>
          <w:rFonts w:hint="eastAsia" w:ascii="仿宋_GB2312" w:hAnsi="新宋体" w:eastAsia="仿宋_GB2312"/>
          <w:color w:val="auto"/>
          <w:sz w:val="32"/>
          <w:szCs w:val="32"/>
        </w:rPr>
        <w:t>《</w:t>
      </w:r>
      <w:r>
        <w:rPr>
          <w:rFonts w:hint="eastAsia" w:ascii="仿宋_GB2312" w:eastAsia="仿宋_GB2312"/>
          <w:color w:val="auto"/>
          <w:sz w:val="32"/>
          <w:szCs w:val="32"/>
        </w:rPr>
        <w:t>检察意见书》</w:t>
      </w:r>
      <w:r>
        <w:rPr>
          <w:rFonts w:hint="eastAsia" w:ascii="仿宋_GB2312" w:hAnsi="新宋体" w:eastAsia="仿宋_GB2312"/>
          <w:color w:val="auto"/>
          <w:sz w:val="32"/>
          <w:szCs w:val="32"/>
        </w:rPr>
        <w:t>，监督纠正</w:t>
      </w:r>
      <w:r>
        <w:rPr>
          <w:rFonts w:hint="eastAsia" w:ascii="仿宋_GB2312" w:hAnsi="Calibri" w:eastAsia="仿宋_GB2312" w:cs="Times New Roman"/>
          <w:color w:val="auto"/>
          <w:sz w:val="32"/>
          <w:szCs w:val="32"/>
        </w:rPr>
        <w:t>暂予监外执行</w:t>
      </w:r>
      <w:r>
        <w:rPr>
          <w:rFonts w:hint="eastAsia" w:ascii="仿宋_GB2312" w:eastAsia="仿宋_GB2312"/>
          <w:color w:val="auto"/>
          <w:sz w:val="32"/>
          <w:szCs w:val="32"/>
        </w:rPr>
        <w:t>条件消失</w:t>
      </w:r>
      <w:r>
        <w:rPr>
          <w:rFonts w:hint="eastAsia" w:ascii="仿宋_GB2312" w:hAnsi="Calibri" w:eastAsia="仿宋_GB2312" w:cs="Times New Roman"/>
          <w:color w:val="auto"/>
          <w:sz w:val="32"/>
          <w:szCs w:val="32"/>
        </w:rPr>
        <w:t>罪犯2</w:t>
      </w:r>
      <w:r>
        <w:rPr>
          <w:rFonts w:hint="eastAsia" w:ascii="仿宋_GB2312" w:eastAsia="仿宋_GB2312"/>
          <w:color w:val="auto"/>
          <w:sz w:val="32"/>
          <w:szCs w:val="32"/>
        </w:rPr>
        <w:t>人</w:t>
      </w:r>
      <w:r>
        <w:rPr>
          <w:rFonts w:hint="eastAsia" w:ascii="仿宋_GB2312" w:eastAsia="仿宋_GB2312"/>
          <w:color w:val="auto"/>
          <w:sz w:val="32"/>
          <w:szCs w:val="32"/>
          <w:lang w:eastAsia="zh-CN"/>
        </w:rPr>
        <w:t>。</w:t>
      </w:r>
      <w:r>
        <w:rPr>
          <w:rFonts w:hint="eastAsia" w:ascii="仿宋_GB2312" w:eastAsia="仿宋_GB2312"/>
          <w:color w:val="auto"/>
          <w:sz w:val="32"/>
          <w:szCs w:val="32"/>
        </w:rPr>
        <w:t>向乡镇场制发纠正违法通知书</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份</w:t>
      </w:r>
      <w:r>
        <w:rPr>
          <w:rFonts w:hint="eastAsia" w:ascii="仿宋_GB2312" w:eastAsia="仿宋_GB2312"/>
          <w:color w:val="auto"/>
          <w:sz w:val="32"/>
          <w:szCs w:val="32"/>
          <w:lang w:eastAsia="zh-CN"/>
        </w:rPr>
        <w:t>，</w:t>
      </w:r>
      <w:r>
        <w:rPr>
          <w:rFonts w:hint="eastAsia" w:ascii="仿宋_GB2312" w:hAnsi="新宋体" w:eastAsia="仿宋_GB2312"/>
          <w:color w:val="auto"/>
          <w:sz w:val="32"/>
          <w:szCs w:val="32"/>
        </w:rPr>
        <w:t>促进社区服刑人员监管措施落实</w:t>
      </w:r>
      <w:r>
        <w:rPr>
          <w:rFonts w:hint="eastAsia" w:ascii="仿宋_GB2312" w:eastAsia="仿宋_GB2312"/>
          <w:color w:val="auto"/>
          <w:sz w:val="32"/>
          <w:szCs w:val="32"/>
        </w:rPr>
        <w:t>。</w:t>
      </w:r>
    </w:p>
    <w:p>
      <w:pPr>
        <w:keepNext w:val="0"/>
        <w:keepLines w:val="0"/>
        <w:pageBreakBefore w:val="0"/>
        <w:kinsoku/>
        <w:wordWrap/>
        <w:topLinePunct w:val="0"/>
        <w:autoSpaceDN/>
        <w:bidi w:val="0"/>
        <w:spacing w:line="560" w:lineRule="exact"/>
        <w:ind w:firstLine="640" w:firstLineChars="200"/>
        <w:rPr>
          <w:rFonts w:ascii="仿宋_GB2312" w:eastAsia="仿宋_GB2312"/>
          <w:color w:val="auto"/>
          <w:sz w:val="32"/>
          <w:szCs w:val="32"/>
        </w:rPr>
      </w:pPr>
      <w:r>
        <w:rPr>
          <w:rFonts w:hint="eastAsia" w:ascii="楷体_GB2312" w:eastAsia="楷体_GB2312"/>
          <w:color w:val="auto"/>
          <w:sz w:val="32"/>
          <w:szCs w:val="32"/>
          <w:lang w:eastAsia="zh-CN"/>
        </w:rPr>
        <w:t>加强</w:t>
      </w:r>
      <w:r>
        <w:rPr>
          <w:rFonts w:hint="eastAsia" w:ascii="楷体_GB2312" w:eastAsia="楷体_GB2312"/>
          <w:color w:val="auto"/>
          <w:sz w:val="32"/>
          <w:szCs w:val="32"/>
        </w:rPr>
        <w:t>民事行政</w:t>
      </w:r>
      <w:r>
        <w:rPr>
          <w:rFonts w:hint="eastAsia" w:ascii="楷体_GB2312" w:eastAsia="楷体_GB2312"/>
          <w:color w:val="auto"/>
          <w:sz w:val="32"/>
          <w:szCs w:val="32"/>
          <w:lang w:eastAsia="zh-CN"/>
        </w:rPr>
        <w:t>诉讼</w:t>
      </w:r>
      <w:r>
        <w:rPr>
          <w:rFonts w:hint="eastAsia" w:ascii="楷体_GB2312" w:eastAsia="楷体_GB2312"/>
          <w:color w:val="auto"/>
          <w:sz w:val="32"/>
          <w:szCs w:val="32"/>
        </w:rPr>
        <w:t>监督。</w:t>
      </w:r>
      <w:r>
        <w:rPr>
          <w:rFonts w:hint="eastAsia" w:ascii="仿宋_GB2312" w:hAnsi="仿宋_GB2312" w:eastAsia="仿宋_GB2312" w:cs="仿宋_GB2312"/>
          <w:color w:val="auto"/>
          <w:sz w:val="32"/>
          <w:szCs w:val="32"/>
          <w:lang w:eastAsia="zh-CN"/>
        </w:rPr>
        <w:t>始终坚持“当好党委政府的法治助手”，紧紧依靠党委领导、人大监督和政府支持推进民事行政诉讼监督工作。</w:t>
      </w:r>
      <w:r>
        <w:rPr>
          <w:rFonts w:hint="eastAsia" w:ascii="仿宋_GB2312" w:hAnsi="仿宋_GB2312" w:eastAsia="仿宋_GB2312" w:cs="仿宋_GB2312"/>
          <w:color w:val="auto"/>
          <w:sz w:val="32"/>
          <w:szCs w:val="32"/>
          <w:lang w:eastAsia="zh-CN"/>
        </w:rPr>
        <w:t>完善多元监督格局，</w:t>
      </w:r>
      <w:r>
        <w:rPr>
          <w:rFonts w:hint="eastAsia" w:ascii="仿宋_GB2312" w:hAnsi="仿宋_GB2312" w:eastAsia="仿宋_GB2312" w:cs="仿宋_GB2312"/>
          <w:color w:val="auto"/>
          <w:sz w:val="32"/>
          <w:szCs w:val="32"/>
          <w:lang w:eastAsia="zh-CN"/>
        </w:rPr>
        <w:t>建立健全诉前检察建议反馈落实工作机制，</w:t>
      </w:r>
      <w:r>
        <w:rPr>
          <w:rFonts w:hint="eastAsia" w:ascii="仿宋_GB2312" w:eastAsia="仿宋_GB2312"/>
          <w:color w:val="auto"/>
          <w:sz w:val="32"/>
          <w:szCs w:val="32"/>
        </w:rPr>
        <w:t>以行政非诉执行监督为突破口，做实行政检察工作，防止行政机关及其公职人员滥用职权。受理各类民事行政检察监督案件</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件，办结</w:t>
      </w:r>
      <w:r>
        <w:rPr>
          <w:rFonts w:hint="eastAsia" w:ascii="仿宋_GB2312" w:eastAsia="仿宋_GB2312"/>
          <w:color w:val="auto"/>
          <w:sz w:val="32"/>
          <w:szCs w:val="32"/>
          <w:lang w:eastAsia="zh-CN"/>
        </w:rPr>
        <w:t>生效裁判监督案件</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件，</w:t>
      </w:r>
      <w:r>
        <w:rPr>
          <w:rFonts w:hint="eastAsia" w:ascii="仿宋_GB2312" w:eastAsia="仿宋_GB2312"/>
          <w:color w:val="auto"/>
          <w:sz w:val="32"/>
          <w:szCs w:val="32"/>
          <w:lang w:eastAsia="zh-CN"/>
        </w:rPr>
        <w:t>民事</w:t>
      </w:r>
      <w:r>
        <w:rPr>
          <w:rFonts w:hint="eastAsia" w:ascii="仿宋_GB2312" w:eastAsia="仿宋_GB2312"/>
          <w:color w:val="auto"/>
          <w:sz w:val="32"/>
          <w:szCs w:val="32"/>
        </w:rPr>
        <w:t>执行监督案件1件。立案查办非诉执行案件</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件，</w:t>
      </w:r>
      <w:r>
        <w:rPr>
          <w:rFonts w:hint="eastAsia" w:ascii="仿宋_GB2312" w:eastAsia="仿宋_GB2312"/>
          <w:color w:val="auto"/>
          <w:sz w:val="32"/>
          <w:szCs w:val="32"/>
          <w:lang w:eastAsia="zh-CN"/>
        </w:rPr>
        <w:t>为国家挽回经济损失</w:t>
      </w:r>
      <w:r>
        <w:rPr>
          <w:rFonts w:hint="eastAsia" w:ascii="仿宋_GB2312" w:eastAsia="仿宋_GB2312"/>
          <w:color w:val="auto"/>
          <w:sz w:val="32"/>
          <w:szCs w:val="32"/>
          <w:lang w:val="en-US" w:eastAsia="zh-CN"/>
        </w:rPr>
        <w:t>14万元，填补了非诉执行案件空白点。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黑体" w:hAnsi="黑体" w:eastAsia="仿宋_GB2312" w:cs="黑体"/>
          <w:i w:val="0"/>
          <w:caps w:val="0"/>
          <w:color w:val="auto"/>
          <w:spacing w:val="0"/>
          <w:sz w:val="32"/>
          <w:szCs w:val="32"/>
          <w:lang w:val="en-US" w:eastAsia="zh-CN"/>
        </w:rPr>
      </w:pPr>
      <w:r>
        <w:rPr>
          <w:rFonts w:hint="eastAsia" w:ascii="楷体_GB2312" w:eastAsia="楷体_GB2312"/>
          <w:color w:val="auto"/>
          <w:sz w:val="32"/>
          <w:szCs w:val="32"/>
        </w:rPr>
        <w:t>做好公益诉讼检察监督。</w:t>
      </w:r>
      <w:r>
        <w:rPr>
          <w:rFonts w:hint="eastAsia" w:ascii="仿宋_GB2312" w:hAnsi="仿宋_GB2312" w:eastAsia="仿宋_GB2312" w:cs="仿宋_GB2312"/>
          <w:color w:val="auto"/>
          <w:sz w:val="32"/>
          <w:szCs w:val="32"/>
          <w:lang w:eastAsia="zh-CN"/>
        </w:rPr>
        <w:t>把检察建议做到刚性，</w:t>
      </w:r>
      <w:r>
        <w:rPr>
          <w:rFonts w:hint="eastAsia" w:ascii="仿宋_GB2312" w:hAnsi="仿宋_GB2312" w:eastAsia="仿宋_GB2312" w:cs="仿宋_GB2312"/>
          <w:color w:val="auto"/>
          <w:sz w:val="32"/>
          <w:szCs w:val="32"/>
          <w:lang w:eastAsia="zh-CN"/>
        </w:rPr>
        <w:t>树立“双赢、多赢、共赢”理念，加强与行政执法机关的沟通协作，力求在诉前程序解决难题，把提起诉讼作为最后的监督手段。</w:t>
      </w:r>
      <w:r>
        <w:rPr>
          <w:rFonts w:hint="eastAsia" w:ascii="仿宋_GB2312" w:eastAsia="仿宋_GB2312"/>
          <w:color w:val="auto"/>
          <w:sz w:val="32"/>
          <w:szCs w:val="32"/>
        </w:rPr>
        <w:t>共立案查办行政公益诉讼案件100件，</w:t>
      </w:r>
      <w:r>
        <w:rPr>
          <w:rFonts w:hint="eastAsia" w:ascii="仿宋_GB2312" w:hAnsi="仿宋_GB2312" w:eastAsia="仿宋_GB2312" w:cs="仿宋_GB2312"/>
          <w:color w:val="auto"/>
          <w:sz w:val="32"/>
          <w:szCs w:val="32"/>
          <w:shd w:val="clear" w:color="auto" w:fill="FFFFFF"/>
        </w:rPr>
        <w:t>督促有关部门恢复被占用和破坏宜林地</w:t>
      </w:r>
      <w:r>
        <w:rPr>
          <w:rFonts w:hint="eastAsia" w:ascii="仿宋_GB2312" w:hAnsi="仿宋_GB2312" w:eastAsia="仿宋_GB2312" w:cs="仿宋_GB2312"/>
          <w:color w:val="auto"/>
          <w:sz w:val="32"/>
          <w:szCs w:val="32"/>
          <w:shd w:val="clear" w:color="auto" w:fill="FFFFFF"/>
          <w:lang w:eastAsia="zh-CN"/>
        </w:rPr>
        <w:t>、草场</w:t>
      </w:r>
      <w:r>
        <w:rPr>
          <w:rFonts w:hint="eastAsia" w:ascii="仿宋_GB2312" w:hAnsi="仿宋_GB2312" w:eastAsia="仿宋_GB2312" w:cs="仿宋_GB2312"/>
          <w:color w:val="auto"/>
          <w:sz w:val="32"/>
          <w:szCs w:val="32"/>
          <w:shd w:val="clear" w:color="auto" w:fill="FFFFFF"/>
          <w:lang w:val="en-US" w:eastAsia="zh-CN"/>
        </w:rPr>
        <w:t>820</w:t>
      </w:r>
      <w:r>
        <w:rPr>
          <w:rFonts w:hint="eastAsia" w:ascii="仿宋_GB2312" w:hAnsi="仿宋_GB2312" w:eastAsia="仿宋_GB2312" w:cs="仿宋_GB2312"/>
          <w:color w:val="auto"/>
          <w:sz w:val="32"/>
          <w:szCs w:val="32"/>
          <w:shd w:val="clear" w:color="auto" w:fill="FFFFFF"/>
        </w:rPr>
        <w:t>亩。</w:t>
      </w:r>
      <w:r>
        <w:rPr>
          <w:rFonts w:hint="eastAsia" w:ascii="仿宋_GB2312" w:hAnsi="仿宋_GB2312" w:eastAsia="仿宋_GB2312" w:cs="仿宋_GB2312"/>
          <w:color w:val="auto"/>
          <w:sz w:val="32"/>
          <w:szCs w:val="32"/>
          <w:shd w:val="clear" w:color="auto" w:fill="FFFFFF"/>
          <w:lang w:eastAsia="zh-CN"/>
        </w:rPr>
        <w:t>针对</w:t>
      </w:r>
      <w:r>
        <w:rPr>
          <w:rFonts w:hint="eastAsia" w:ascii="仿宋_GB2312" w:eastAsia="仿宋_GB2312"/>
          <w:color w:val="auto"/>
          <w:sz w:val="32"/>
          <w:szCs w:val="32"/>
        </w:rPr>
        <w:t>生态环境</w:t>
      </w:r>
      <w:r>
        <w:rPr>
          <w:rFonts w:hint="eastAsia" w:ascii="仿宋_GB2312" w:eastAsia="仿宋_GB2312"/>
          <w:color w:val="auto"/>
          <w:sz w:val="32"/>
          <w:szCs w:val="32"/>
          <w:lang w:eastAsia="zh-CN"/>
        </w:rPr>
        <w:t>、</w:t>
      </w:r>
      <w:r>
        <w:rPr>
          <w:rFonts w:hint="eastAsia" w:ascii="仿宋_GB2312" w:eastAsia="仿宋_GB2312"/>
          <w:color w:val="auto"/>
          <w:sz w:val="32"/>
          <w:szCs w:val="32"/>
        </w:rPr>
        <w:t>资源保护</w:t>
      </w:r>
      <w:r>
        <w:rPr>
          <w:rFonts w:hint="eastAsia" w:ascii="仿宋_GB2312" w:eastAsia="仿宋_GB2312"/>
          <w:color w:val="auto"/>
          <w:sz w:val="32"/>
          <w:szCs w:val="32"/>
          <w:lang w:eastAsia="zh-CN"/>
        </w:rPr>
        <w:t>、</w:t>
      </w:r>
      <w:r>
        <w:rPr>
          <w:rFonts w:hint="eastAsia" w:ascii="仿宋_GB2312" w:eastAsia="仿宋_GB2312"/>
          <w:color w:val="auto"/>
          <w:sz w:val="32"/>
          <w:szCs w:val="32"/>
        </w:rPr>
        <w:t>国有土地使用权出让</w:t>
      </w:r>
      <w:r>
        <w:rPr>
          <w:rFonts w:hint="eastAsia" w:ascii="仿宋_GB2312" w:eastAsia="仿宋_GB2312"/>
          <w:color w:val="auto"/>
          <w:sz w:val="32"/>
          <w:szCs w:val="32"/>
          <w:lang w:eastAsia="zh-CN"/>
        </w:rPr>
        <w:t>等</w:t>
      </w:r>
      <w:r>
        <w:rPr>
          <w:rFonts w:hint="eastAsia" w:ascii="仿宋_GB2312" w:eastAsia="仿宋_GB2312"/>
          <w:color w:val="auto"/>
          <w:sz w:val="32"/>
          <w:szCs w:val="32"/>
        </w:rPr>
        <w:t>领域向伊犁哈萨克自治州喀什河流域管理处、伊犁州生态环境局伊宁县分局</w:t>
      </w:r>
      <w:r>
        <w:rPr>
          <w:rFonts w:hint="eastAsia" w:ascii="仿宋_GB2312" w:eastAsia="仿宋_GB2312"/>
          <w:color w:val="auto"/>
          <w:sz w:val="32"/>
          <w:szCs w:val="32"/>
          <w:lang w:eastAsia="zh-CN"/>
        </w:rPr>
        <w:t>等行政单位</w:t>
      </w:r>
      <w:r>
        <w:rPr>
          <w:rFonts w:hint="eastAsia" w:ascii="仿宋_GB2312" w:eastAsia="仿宋_GB2312"/>
          <w:color w:val="auto"/>
          <w:sz w:val="32"/>
          <w:szCs w:val="32"/>
        </w:rPr>
        <w:t>发出检察建议书65份，</w:t>
      </w:r>
      <w:r>
        <w:rPr>
          <w:rFonts w:hint="eastAsia" w:ascii="仿宋_GB2312" w:hAnsi="仿宋_GB2312" w:eastAsia="仿宋_GB2312" w:cs="仿宋_GB2312"/>
          <w:color w:val="auto"/>
          <w:sz w:val="32"/>
          <w:szCs w:val="32"/>
          <w:shd w:val="clear" w:color="auto" w:fill="FFFFFF"/>
          <w:lang w:eastAsia="zh-CN"/>
        </w:rPr>
        <w:t>督促自行纠正违法、履行职责，均已通过诉前程序得到解决。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N/>
        <w:bidi w:val="0"/>
        <w:spacing w:before="0" w:beforeAutospacing="0" w:after="0" w:afterAutospacing="0" w:line="560" w:lineRule="exact"/>
        <w:ind w:right="0" w:firstLine="640" w:firstLineChars="200"/>
        <w:rPr>
          <w:rFonts w:hint="eastAsia" w:ascii="黑体" w:hAnsi="黑体" w:eastAsia="黑体" w:cs="黑体"/>
          <w:b w:val="0"/>
          <w:bCs/>
          <w:color w:val="auto"/>
          <w:sz w:val="32"/>
          <w:szCs w:val="32"/>
        </w:rPr>
      </w:pPr>
      <w:r>
        <w:rPr>
          <w:rStyle w:val="11"/>
          <w:rFonts w:hint="eastAsia" w:ascii="黑体" w:hAnsi="黑体" w:eastAsia="黑体" w:cs="黑体"/>
          <w:b w:val="0"/>
          <w:bCs/>
          <w:i w:val="0"/>
          <w:caps w:val="0"/>
          <w:color w:val="auto"/>
          <w:spacing w:val="0"/>
          <w:sz w:val="32"/>
          <w:szCs w:val="32"/>
          <w:lang w:eastAsia="zh-CN"/>
        </w:rPr>
        <w:t>五</w:t>
      </w:r>
      <w:r>
        <w:rPr>
          <w:rStyle w:val="11"/>
          <w:rFonts w:hint="eastAsia" w:ascii="黑体" w:hAnsi="黑体" w:eastAsia="黑体" w:cs="黑体"/>
          <w:b w:val="0"/>
          <w:bCs/>
          <w:i w:val="0"/>
          <w:caps w:val="0"/>
          <w:color w:val="auto"/>
          <w:spacing w:val="0"/>
          <w:sz w:val="32"/>
          <w:szCs w:val="32"/>
        </w:rPr>
        <w:t>、深化司法体制改革，推动检察工作创新发展</w:t>
      </w:r>
    </w:p>
    <w:p>
      <w:pPr>
        <w:pStyle w:val="7"/>
        <w:keepNext w:val="0"/>
        <w:keepLines w:val="0"/>
        <w:pageBreakBefore w:val="0"/>
        <w:widowControl/>
        <w:kinsoku/>
        <w:wordWrap/>
        <w:topLinePunct w:val="0"/>
        <w:autoSpaceDE w:val="0"/>
        <w:autoSpaceDN/>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楷体_GB2312" w:hAnsi="仿宋_GB2312" w:eastAsia="楷体_GB2312"/>
          <w:color w:val="auto"/>
          <w:sz w:val="32"/>
          <w:szCs w:val="32"/>
        </w:rPr>
        <w:t>稳步推进司法责任制改革。</w:t>
      </w:r>
      <w:r>
        <w:rPr>
          <w:rFonts w:hint="eastAsia" w:ascii="仿宋_GB2312" w:hAnsi="Times New Roman" w:eastAsia="仿宋_GB2312" w:cs="仿宋_GB2312"/>
          <w:color w:val="auto"/>
          <w:sz w:val="31"/>
          <w:szCs w:val="31"/>
          <w:shd w:val="clear" w:color="auto" w:fill="FFFFFF"/>
        </w:rPr>
        <w:t>在自治区检察院统一部署下，圆满完成书记员公开招考</w:t>
      </w:r>
      <w:r>
        <w:rPr>
          <w:rFonts w:hint="eastAsia" w:ascii="仿宋_GB2312" w:eastAsia="仿宋_GB2312" w:cs="仿宋_GB2312"/>
          <w:color w:val="auto"/>
          <w:sz w:val="31"/>
          <w:szCs w:val="31"/>
          <w:shd w:val="clear" w:color="auto" w:fill="FFFFFF"/>
          <w:lang w:eastAsia="zh-CN"/>
        </w:rPr>
        <w:t>、工资发放等</w:t>
      </w:r>
      <w:r>
        <w:rPr>
          <w:rFonts w:hint="eastAsia" w:ascii="仿宋_GB2312" w:hAnsi="Times New Roman" w:eastAsia="仿宋_GB2312" w:cs="仿宋_GB2312"/>
          <w:color w:val="auto"/>
          <w:sz w:val="31"/>
          <w:szCs w:val="31"/>
          <w:shd w:val="clear" w:color="auto" w:fill="FFFFFF"/>
        </w:rPr>
        <w:t>工作。</w:t>
      </w:r>
      <w:r>
        <w:rPr>
          <w:rFonts w:hint="eastAsia" w:ascii="仿宋_GB2312" w:eastAsia="仿宋_GB2312" w:cs="仿宋_GB2312"/>
          <w:color w:val="auto"/>
          <w:sz w:val="31"/>
          <w:szCs w:val="31"/>
          <w:shd w:val="clear" w:color="auto" w:fill="FFFFFF"/>
          <w:lang w:eastAsia="zh-CN"/>
        </w:rPr>
        <w:t>完善员额检察官履职评价机制，对员额检察官履职情况进行评议、通报，将履职情况作为进退员额检察官序列、检察官等级晋升重要依据。</w:t>
      </w:r>
      <w:r>
        <w:rPr>
          <w:rFonts w:hint="eastAsia" w:ascii="仿宋_GB2312" w:hAnsi="仿宋" w:eastAsia="仿宋_GB2312" w:cs="宋体"/>
          <w:color w:val="auto"/>
          <w:sz w:val="32"/>
          <w:szCs w:val="32"/>
        </w:rPr>
        <w:t>及时做好内设机构改革后统一业务应用系统的配置工作</w:t>
      </w:r>
      <w:r>
        <w:rPr>
          <w:rFonts w:hint="eastAsia" w:ascii="仿宋_GB2312" w:hAnsi="仿宋" w:eastAsia="仿宋_GB2312" w:cs="宋体"/>
          <w:color w:val="auto"/>
          <w:sz w:val="32"/>
          <w:szCs w:val="32"/>
          <w:lang w:eastAsia="zh-CN"/>
        </w:rPr>
        <w:t>，</w:t>
      </w:r>
      <w:r>
        <w:rPr>
          <w:rFonts w:hint="eastAsia" w:ascii="仿宋_GB2312" w:eastAsia="仿宋_GB2312" w:cs="仿宋_GB2312"/>
          <w:color w:val="auto"/>
          <w:sz w:val="31"/>
          <w:szCs w:val="31"/>
          <w:shd w:val="clear" w:color="auto" w:fill="FFFFFF"/>
          <w:lang w:eastAsia="zh-CN"/>
        </w:rPr>
        <w:t>严格落实系统轮案、随机分案、流程监控、案件质量评查等制度，</w:t>
      </w:r>
      <w:r>
        <w:rPr>
          <w:rFonts w:hint="eastAsia" w:ascii="仿宋_GB2312" w:hAnsi="仿宋" w:eastAsia="仿宋_GB2312" w:cs="宋体"/>
          <w:color w:val="auto"/>
          <w:sz w:val="32"/>
          <w:szCs w:val="32"/>
          <w:lang w:eastAsia="zh-CN"/>
        </w:rPr>
        <w:t>确保</w:t>
      </w:r>
      <w:r>
        <w:rPr>
          <w:rFonts w:hint="eastAsia" w:ascii="仿宋_GB2312" w:hAnsi="仿宋_GB2312" w:eastAsia="仿宋_GB2312" w:cs="仿宋_GB2312"/>
          <w:i w:val="0"/>
          <w:caps w:val="0"/>
          <w:color w:val="auto"/>
          <w:spacing w:val="0"/>
          <w:sz w:val="32"/>
          <w:szCs w:val="32"/>
        </w:rPr>
        <w:t>流程监控、个案评查、办案绩效考核机制进一步完善</w:t>
      </w:r>
      <w:r>
        <w:rPr>
          <w:rFonts w:hint="eastAsia" w:ascii="仿宋_GB2312" w:hAnsi="Times New Roman" w:eastAsia="仿宋_GB2312" w:cs="仿宋_GB2312"/>
          <w:color w:val="auto"/>
          <w:sz w:val="31"/>
          <w:szCs w:val="31"/>
          <w:shd w:val="clear" w:color="auto" w:fill="FFFFFF"/>
        </w:rPr>
        <w:t>。</w:t>
      </w:r>
      <w:r>
        <w:rPr>
          <w:rFonts w:hint="eastAsia" w:ascii="仿宋_GB2312" w:eastAsia="仿宋_GB2312" w:cs="仿宋_GB2312"/>
          <w:color w:val="auto"/>
          <w:sz w:val="31"/>
          <w:szCs w:val="31"/>
          <w:shd w:val="clear" w:color="auto" w:fill="FFFFFF"/>
          <w:lang w:eastAsia="zh-CN"/>
        </w:rPr>
        <w:t>强化刑事审判监督，落实检察长列席审判委员会制度</w:t>
      </w:r>
      <w:r>
        <w:rPr>
          <w:rFonts w:hint="eastAsia" w:ascii="仿宋_GB2312" w:eastAsia="仿宋_GB2312" w:cs="仿宋_GB2312"/>
          <w:b w:val="0"/>
          <w:bCs w:val="0"/>
          <w:color w:val="auto"/>
          <w:sz w:val="31"/>
          <w:szCs w:val="31"/>
          <w:shd w:val="clear" w:color="auto" w:fill="FFFFFF"/>
          <w:lang w:eastAsia="zh-CN"/>
        </w:rPr>
        <w:t>，</w:t>
      </w:r>
      <w:r>
        <w:rPr>
          <w:rFonts w:hint="eastAsia" w:ascii="仿宋_GB2312" w:hAnsi="仿宋_GB2312" w:eastAsia="仿宋_GB2312" w:cs="仿宋_GB2312"/>
          <w:b w:val="0"/>
          <w:bCs w:val="0"/>
          <w:i w:val="0"/>
          <w:caps w:val="0"/>
          <w:color w:val="auto"/>
          <w:spacing w:val="0"/>
          <w:sz w:val="32"/>
          <w:szCs w:val="32"/>
        </w:rPr>
        <w:t>检察长共列席</w:t>
      </w:r>
      <w:r>
        <w:rPr>
          <w:rFonts w:hint="eastAsia" w:ascii="仿宋_GB2312" w:hAnsi="仿宋_GB2312" w:eastAsia="仿宋_GB2312" w:cs="仿宋_GB2312"/>
          <w:b w:val="0"/>
          <w:bCs w:val="0"/>
          <w:i w:val="0"/>
          <w:caps w:val="0"/>
          <w:color w:val="auto"/>
          <w:spacing w:val="0"/>
          <w:sz w:val="32"/>
          <w:szCs w:val="32"/>
          <w:lang w:eastAsia="zh-CN"/>
        </w:rPr>
        <w:t>同级审委会</w:t>
      </w:r>
      <w:r>
        <w:rPr>
          <w:rFonts w:hint="eastAsia" w:ascii="仿宋_GB2312" w:hAnsi="仿宋_GB2312" w:eastAsia="仿宋_GB2312" w:cs="仿宋_GB2312"/>
          <w:b w:val="0"/>
          <w:bCs w:val="0"/>
          <w:i w:val="0"/>
          <w:caps w:val="0"/>
          <w:color w:val="auto"/>
          <w:spacing w:val="0"/>
          <w:sz w:val="32"/>
          <w:szCs w:val="32"/>
          <w:lang w:val="en-US" w:eastAsia="zh-CN"/>
        </w:rPr>
        <w:t>6</w:t>
      </w:r>
      <w:r>
        <w:rPr>
          <w:rFonts w:hint="eastAsia" w:ascii="仿宋_GB2312" w:hAnsi="仿宋_GB2312" w:eastAsia="仿宋_GB2312" w:cs="仿宋_GB2312"/>
          <w:b w:val="0"/>
          <w:bCs w:val="0"/>
          <w:i w:val="0"/>
          <w:caps w:val="0"/>
          <w:color w:val="auto"/>
          <w:spacing w:val="0"/>
          <w:sz w:val="32"/>
          <w:szCs w:val="32"/>
        </w:rPr>
        <w:t>次</w:t>
      </w:r>
      <w:r>
        <w:rPr>
          <w:rFonts w:hint="eastAsia" w:ascii="仿宋_GB2312" w:hAnsi="仿宋_GB2312" w:eastAsia="仿宋_GB2312" w:cs="仿宋_GB2312"/>
          <w:b w:val="0"/>
          <w:bCs w:val="0"/>
          <w:i w:val="0"/>
          <w:caps w:val="0"/>
          <w:color w:val="auto"/>
          <w:spacing w:val="0"/>
          <w:sz w:val="32"/>
          <w:szCs w:val="32"/>
          <w:lang w:eastAsia="zh-CN"/>
        </w:rPr>
        <w:t>。</w:t>
      </w:r>
      <w:r>
        <w:rPr>
          <w:rFonts w:hint="eastAsia" w:ascii="仿宋_GB2312" w:hAnsi="仿宋" w:eastAsia="仿宋_GB2312"/>
          <w:color w:val="auto"/>
          <w:sz w:val="32"/>
          <w:szCs w:val="32"/>
        </w:rPr>
        <w:t>院领导带头办案已成常态，改革成效已凸显。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N/>
        <w:bidi w:val="0"/>
        <w:spacing w:before="0" w:beforeAutospacing="0" w:after="0" w:afterAutospacing="0" w:line="560" w:lineRule="exact"/>
        <w:ind w:right="0" w:firstLine="640" w:firstLineChars="200"/>
        <w:rPr>
          <w:rFonts w:hint="eastAsia" w:ascii="仿宋_GB2312" w:hAnsi="仿宋_GB2312" w:eastAsia="仿宋_GB2312" w:cs="仿宋_GB2312"/>
          <w:i w:val="0"/>
          <w:caps w:val="0"/>
          <w:color w:val="auto"/>
          <w:spacing w:val="0"/>
          <w:sz w:val="32"/>
          <w:szCs w:val="32"/>
        </w:rPr>
      </w:pPr>
      <w:r>
        <w:rPr>
          <w:rStyle w:val="11"/>
          <w:rFonts w:hint="eastAsia" w:ascii="楷体_GB2312" w:hAnsi="楷体_GB2312" w:eastAsia="楷体_GB2312" w:cs="楷体_GB2312"/>
          <w:b w:val="0"/>
          <w:bCs/>
          <w:i w:val="0"/>
          <w:caps w:val="0"/>
          <w:color w:val="auto"/>
          <w:spacing w:val="0"/>
          <w:sz w:val="32"/>
          <w:szCs w:val="32"/>
        </w:rPr>
        <w:t>加强与监察委员会配合协作。</w:t>
      </w:r>
      <w:r>
        <w:rPr>
          <w:rStyle w:val="11"/>
          <w:rFonts w:hint="eastAsia" w:ascii="仿宋_GB2312" w:hAnsi="仿宋_GB2312" w:eastAsia="仿宋_GB2312" w:cs="仿宋_GB2312"/>
          <w:b w:val="0"/>
          <w:bCs/>
          <w:i w:val="0"/>
          <w:caps w:val="0"/>
          <w:color w:val="auto"/>
          <w:spacing w:val="0"/>
          <w:sz w:val="32"/>
          <w:szCs w:val="32"/>
          <w:lang w:eastAsia="zh-CN"/>
        </w:rPr>
        <w:t>进一步完善与监察机关办案衔接机制，</w:t>
      </w:r>
      <w:r>
        <w:rPr>
          <w:rFonts w:hint="eastAsia" w:ascii="仿宋_GB2312" w:hAnsi="仿宋_GB2312" w:eastAsia="仿宋_GB2312" w:cs="仿宋_GB2312"/>
          <w:i w:val="0"/>
          <w:caps w:val="0"/>
          <w:color w:val="auto"/>
          <w:spacing w:val="0"/>
          <w:sz w:val="32"/>
          <w:szCs w:val="32"/>
        </w:rPr>
        <w:t>逐步建立起更为明确、严格的办案规范和程序，</w:t>
      </w:r>
      <w:r>
        <w:rPr>
          <w:rStyle w:val="11"/>
          <w:rFonts w:hint="eastAsia" w:ascii="仿宋_GB2312" w:hAnsi="仿宋_GB2312" w:eastAsia="仿宋_GB2312" w:cs="仿宋_GB2312"/>
          <w:b w:val="0"/>
          <w:bCs/>
          <w:i w:val="0"/>
          <w:caps w:val="0"/>
          <w:color w:val="auto"/>
          <w:spacing w:val="0"/>
          <w:sz w:val="32"/>
          <w:szCs w:val="32"/>
          <w:lang w:eastAsia="zh-CN"/>
        </w:rPr>
        <w:t>充分发挥检察机关反腐败职能，</w:t>
      </w:r>
      <w:r>
        <w:rPr>
          <w:rFonts w:hint="eastAsia" w:ascii="仿宋_GB2312" w:hAnsi="仿宋_GB2312" w:eastAsia="仿宋_GB2312" w:cs="仿宋_GB2312"/>
          <w:i w:val="0"/>
          <w:caps w:val="0"/>
          <w:color w:val="auto"/>
          <w:spacing w:val="0"/>
          <w:sz w:val="32"/>
          <w:szCs w:val="32"/>
        </w:rPr>
        <w:t>进一步形成了反腐败工作合力。共</w:t>
      </w:r>
      <w:r>
        <w:rPr>
          <w:rFonts w:hint="eastAsia" w:ascii="仿宋_GB2312" w:hAnsi="仿宋_GB2312" w:eastAsia="仿宋_GB2312" w:cs="仿宋_GB2312"/>
          <w:i w:val="0"/>
          <w:caps w:val="0"/>
          <w:color w:val="auto"/>
          <w:spacing w:val="0"/>
          <w:sz w:val="32"/>
          <w:szCs w:val="32"/>
          <w:lang w:eastAsia="zh-CN"/>
        </w:rPr>
        <w:t>受</w:t>
      </w:r>
      <w:r>
        <w:rPr>
          <w:rFonts w:hint="eastAsia" w:ascii="仿宋_GB2312" w:hAnsi="仿宋_GB2312" w:eastAsia="仿宋_GB2312" w:cs="仿宋_GB2312"/>
          <w:i w:val="0"/>
          <w:caps w:val="0"/>
          <w:color w:val="auto"/>
          <w:spacing w:val="0"/>
          <w:sz w:val="32"/>
          <w:szCs w:val="32"/>
        </w:rPr>
        <w:t>理</w:t>
      </w:r>
      <w:r>
        <w:rPr>
          <w:rFonts w:hint="eastAsia" w:ascii="仿宋_GB2312" w:hAnsi="仿宋_GB2312" w:eastAsia="仿宋_GB2312" w:cs="仿宋_GB2312"/>
          <w:i w:val="0"/>
          <w:caps w:val="0"/>
          <w:color w:val="auto"/>
          <w:spacing w:val="0"/>
          <w:sz w:val="32"/>
          <w:szCs w:val="32"/>
          <w:lang w:eastAsia="zh-CN"/>
        </w:rPr>
        <w:t>监察机关</w:t>
      </w:r>
      <w:r>
        <w:rPr>
          <w:rFonts w:hint="eastAsia" w:ascii="仿宋_GB2312" w:hAnsi="仿宋_GB2312" w:eastAsia="仿宋_GB2312" w:cs="仿宋_GB2312"/>
          <w:i w:val="0"/>
          <w:caps w:val="0"/>
          <w:color w:val="auto"/>
          <w:spacing w:val="0"/>
          <w:sz w:val="32"/>
          <w:szCs w:val="32"/>
        </w:rPr>
        <w:t>移送审查</w:t>
      </w:r>
      <w:r>
        <w:rPr>
          <w:rFonts w:hint="eastAsia" w:ascii="仿宋_GB2312" w:hAnsi="仿宋_GB2312" w:eastAsia="仿宋_GB2312" w:cs="仿宋_GB2312"/>
          <w:i w:val="0"/>
          <w:caps w:val="0"/>
          <w:color w:val="auto"/>
          <w:spacing w:val="0"/>
          <w:sz w:val="32"/>
          <w:szCs w:val="32"/>
          <w:lang w:eastAsia="zh-CN"/>
        </w:rPr>
        <w:t>职务犯罪</w:t>
      </w:r>
      <w:r>
        <w:rPr>
          <w:rFonts w:hint="eastAsia" w:ascii="仿宋_GB2312" w:hAnsi="仿宋_GB2312" w:eastAsia="仿宋_GB2312" w:cs="仿宋_GB2312"/>
          <w:i w:val="0"/>
          <w:caps w:val="0"/>
          <w:color w:val="auto"/>
          <w:spacing w:val="0"/>
          <w:sz w:val="32"/>
          <w:szCs w:val="32"/>
        </w:rPr>
        <w:t>案件</w:t>
      </w:r>
      <w:r>
        <w:rPr>
          <w:rFonts w:hint="eastAsia" w:ascii="仿宋_GB2312" w:hAnsi="仿宋_GB2312" w:eastAsia="仿宋_GB2312" w:cs="仿宋_GB2312"/>
          <w:i w:val="0"/>
          <w:caps w:val="0"/>
          <w:color w:val="auto"/>
          <w:spacing w:val="0"/>
          <w:sz w:val="32"/>
          <w:szCs w:val="32"/>
          <w:lang w:val="en-US" w:eastAsia="zh-CN"/>
        </w:rPr>
        <w:t>嫌疑人7</w:t>
      </w:r>
      <w:r>
        <w:rPr>
          <w:rFonts w:hint="eastAsia" w:ascii="仿宋_GB2312" w:hAnsi="仿宋_GB2312" w:eastAsia="仿宋_GB2312" w:cs="仿宋_GB2312"/>
          <w:i w:val="0"/>
          <w:caps w:val="0"/>
          <w:color w:val="auto"/>
          <w:spacing w:val="0"/>
          <w:sz w:val="32"/>
          <w:szCs w:val="32"/>
        </w:rPr>
        <w:t>人，提起公诉</w:t>
      </w:r>
      <w:r>
        <w:rPr>
          <w:rFonts w:hint="eastAsia" w:ascii="仿宋_GB2312" w:hAnsi="仿宋_GB2312" w:eastAsia="仿宋_GB2312" w:cs="仿宋_GB2312"/>
          <w:i w:val="0"/>
          <w:caps w:val="0"/>
          <w:color w:val="auto"/>
          <w:spacing w:val="0"/>
          <w:sz w:val="32"/>
          <w:szCs w:val="32"/>
          <w:lang w:val="en-US" w:eastAsia="zh-CN"/>
        </w:rPr>
        <w:t>8</w:t>
      </w:r>
      <w:r>
        <w:rPr>
          <w:rFonts w:hint="eastAsia" w:ascii="仿宋_GB2312" w:hAnsi="仿宋_GB2312" w:eastAsia="仿宋_GB2312" w:cs="仿宋_GB2312"/>
          <w:i w:val="0"/>
          <w:caps w:val="0"/>
          <w:color w:val="auto"/>
          <w:spacing w:val="0"/>
          <w:sz w:val="32"/>
          <w:szCs w:val="32"/>
        </w:rPr>
        <w:t>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N/>
        <w:bidi w:val="0"/>
        <w:spacing w:before="0" w:beforeAutospacing="0" w:after="0" w:afterAutospacing="0" w:line="560" w:lineRule="exact"/>
        <w:ind w:right="0" w:firstLine="640" w:firstLineChars="200"/>
        <w:rPr>
          <w:rStyle w:val="11"/>
          <w:rFonts w:hint="eastAsia" w:ascii="仿宋_GB2312" w:hAnsi="仿宋_GB2312" w:eastAsia="仿宋_GB2312" w:cs="仿宋_GB2312"/>
          <w:b w:val="0"/>
          <w:bCs/>
          <w:i w:val="0"/>
          <w:caps w:val="0"/>
          <w:color w:val="auto"/>
          <w:spacing w:val="0"/>
          <w:sz w:val="32"/>
          <w:szCs w:val="32"/>
          <w:lang w:eastAsia="zh-CN"/>
        </w:rPr>
      </w:pPr>
      <w:r>
        <w:rPr>
          <w:rFonts w:hint="eastAsia" w:ascii="楷体_GB2312" w:hAnsi="楷体_GB2312" w:eastAsia="楷体_GB2312" w:cs="楷体_GB2312"/>
          <w:color w:val="auto"/>
          <w:sz w:val="32"/>
          <w:szCs w:val="32"/>
          <w:lang w:eastAsia="zh-CN"/>
        </w:rPr>
        <w:t>自觉以公开促公正</w:t>
      </w:r>
      <w:r>
        <w:rPr>
          <w:rFonts w:hint="eastAsia" w:ascii="楷体_GB2312" w:hAnsi="楷体_GB2312" w:eastAsia="楷体_GB2312" w:cs="楷体_GB2312"/>
          <w:color w:val="auto"/>
          <w:sz w:val="32"/>
          <w:szCs w:val="32"/>
        </w:rPr>
        <w:t>。</w:t>
      </w:r>
      <w:r>
        <w:rPr>
          <w:rFonts w:hint="eastAsia" w:ascii="仿宋_GB2312" w:hAnsi="仿宋_GB2312" w:eastAsia="仿宋_GB2312" w:cs="Times New Roman"/>
          <w:color w:val="auto"/>
          <w:sz w:val="32"/>
          <w:szCs w:val="32"/>
          <w:lang w:eastAsia="zh-CN"/>
        </w:rPr>
        <w:t>深化检务公开，坚持案件信息公开常态化，向社会发布</w:t>
      </w:r>
      <w:r>
        <w:rPr>
          <w:rFonts w:hint="eastAsia" w:ascii="仿宋_GB2312" w:hAnsi="仿宋_GB2312" w:eastAsia="仿宋_GB2312" w:cs="Times New Roman"/>
          <w:color w:val="auto"/>
          <w:sz w:val="32"/>
          <w:szCs w:val="32"/>
        </w:rPr>
        <w:t>案件</w:t>
      </w:r>
      <w:r>
        <w:rPr>
          <w:rFonts w:hint="eastAsia" w:ascii="仿宋_GB2312" w:hAnsi="仿宋_GB2312" w:eastAsia="仿宋_GB2312" w:cs="Times New Roman"/>
          <w:color w:val="auto"/>
          <w:sz w:val="32"/>
          <w:szCs w:val="32"/>
          <w:lang w:eastAsia="zh-CN"/>
        </w:rPr>
        <w:t>程序性</w:t>
      </w:r>
      <w:r>
        <w:rPr>
          <w:rFonts w:hint="eastAsia" w:ascii="仿宋_GB2312" w:hAnsi="仿宋_GB2312" w:eastAsia="仿宋_GB2312" w:cs="Times New Roman"/>
          <w:color w:val="auto"/>
          <w:sz w:val="32"/>
          <w:szCs w:val="32"/>
        </w:rPr>
        <w:t>信息</w:t>
      </w:r>
      <w:r>
        <w:rPr>
          <w:rFonts w:hint="eastAsia" w:ascii="仿宋_GB2312" w:hAnsi="仿宋_GB2312" w:eastAsia="仿宋_GB2312" w:cs="Times New Roman"/>
          <w:color w:val="auto"/>
          <w:sz w:val="32"/>
          <w:szCs w:val="32"/>
          <w:lang w:val="en-US" w:eastAsia="zh-CN"/>
        </w:rPr>
        <w:t>626</w:t>
      </w:r>
      <w:r>
        <w:rPr>
          <w:rFonts w:hint="eastAsia" w:ascii="仿宋_GB2312" w:hAnsi="仿宋_GB2312" w:eastAsia="仿宋_GB2312" w:cs="Times New Roman"/>
          <w:color w:val="auto"/>
          <w:sz w:val="32"/>
          <w:szCs w:val="32"/>
        </w:rPr>
        <w:t>条，公开法律文书</w:t>
      </w:r>
      <w:r>
        <w:rPr>
          <w:rFonts w:hint="eastAsia" w:ascii="仿宋_GB2312" w:hAnsi="仿宋_GB2312" w:eastAsia="仿宋_GB2312" w:cs="Times New Roman"/>
          <w:color w:val="auto"/>
          <w:sz w:val="32"/>
          <w:szCs w:val="32"/>
          <w:lang w:val="en-US" w:eastAsia="zh-CN"/>
        </w:rPr>
        <w:t>295</w:t>
      </w:r>
      <w:r>
        <w:rPr>
          <w:rFonts w:hint="eastAsia" w:ascii="仿宋_GB2312" w:hAnsi="仿宋_GB2312" w:eastAsia="仿宋_GB2312" w:cs="Times New Roman"/>
          <w:color w:val="auto"/>
          <w:sz w:val="32"/>
          <w:szCs w:val="32"/>
        </w:rPr>
        <w:t>份，公布重大案件信息</w:t>
      </w:r>
      <w:r>
        <w:rPr>
          <w:rFonts w:hint="eastAsia" w:ascii="仿宋_GB2312" w:hAnsi="仿宋_GB2312" w:eastAsia="仿宋_GB2312" w:cs="Times New Roman"/>
          <w:color w:val="auto"/>
          <w:sz w:val="32"/>
          <w:szCs w:val="32"/>
          <w:lang w:val="en-US" w:eastAsia="zh-CN"/>
        </w:rPr>
        <w:t>2</w:t>
      </w:r>
      <w:r>
        <w:rPr>
          <w:rFonts w:hint="eastAsia" w:ascii="仿宋_GB2312" w:hAnsi="仿宋_GB2312" w:eastAsia="仿宋_GB2312" w:cs="Times New Roman"/>
          <w:color w:val="auto"/>
          <w:sz w:val="32"/>
          <w:szCs w:val="32"/>
        </w:rPr>
        <w:t>条</w:t>
      </w: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rPr>
        <w:t>保障律师执业权利，</w:t>
      </w:r>
      <w:r>
        <w:rPr>
          <w:rFonts w:hint="eastAsia" w:ascii="仿宋_GB2312" w:hAnsi="仿宋_GB2312" w:eastAsia="仿宋_GB2312" w:cs="Times New Roman"/>
          <w:color w:val="auto"/>
          <w:sz w:val="32"/>
          <w:szCs w:val="32"/>
          <w:lang w:eastAsia="zh-CN"/>
        </w:rPr>
        <w:t>积极听取律师对检察工作的意见和建议，</w:t>
      </w:r>
      <w:r>
        <w:rPr>
          <w:rFonts w:hint="eastAsia" w:ascii="仿宋_GB2312" w:hAnsi="仿宋_GB2312" w:eastAsia="仿宋_GB2312" w:cs="Times New Roman"/>
          <w:color w:val="auto"/>
          <w:sz w:val="32"/>
          <w:szCs w:val="32"/>
        </w:rPr>
        <w:t>为律师提供多样化预约选择，接待律师阅卷服务</w:t>
      </w:r>
      <w:r>
        <w:rPr>
          <w:rFonts w:hint="eastAsia" w:ascii="仿宋_GB2312" w:hAnsi="仿宋_GB2312" w:eastAsia="仿宋_GB2312" w:cs="Times New Roman"/>
          <w:color w:val="auto"/>
          <w:sz w:val="32"/>
          <w:szCs w:val="32"/>
          <w:lang w:val="en-US" w:eastAsia="zh-CN"/>
        </w:rPr>
        <w:t>39</w:t>
      </w:r>
      <w:r>
        <w:rPr>
          <w:rFonts w:hint="eastAsia" w:ascii="仿宋_GB2312" w:hAnsi="仿宋_GB2312" w:eastAsia="仿宋_GB2312" w:cs="Times New Roman"/>
          <w:color w:val="auto"/>
          <w:sz w:val="32"/>
          <w:szCs w:val="32"/>
        </w:rPr>
        <w:t>人次。发布微博</w:t>
      </w: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rPr>
        <w:t>微信</w:t>
      </w:r>
      <w:r>
        <w:rPr>
          <w:rFonts w:hint="eastAsia" w:ascii="仿宋_GB2312" w:hAnsi="仿宋_GB2312" w:eastAsia="仿宋_GB2312" w:cs="Times New Roman"/>
          <w:color w:val="auto"/>
          <w:sz w:val="32"/>
          <w:szCs w:val="32"/>
          <w:lang w:val="en-US" w:eastAsia="zh-CN"/>
        </w:rPr>
        <w:t>400</w:t>
      </w:r>
      <w:r>
        <w:rPr>
          <w:rFonts w:hint="eastAsia" w:ascii="仿宋_GB2312" w:hAnsi="仿宋_GB2312" w:eastAsia="仿宋_GB2312" w:cs="Times New Roman"/>
          <w:color w:val="auto"/>
          <w:sz w:val="32"/>
          <w:szCs w:val="32"/>
        </w:rPr>
        <w:t>余条。坚持</w:t>
      </w:r>
      <w:r>
        <w:rPr>
          <w:rFonts w:hint="eastAsia" w:ascii="仿宋_GB2312" w:hAnsi="仿宋_GB2312" w:eastAsia="仿宋_GB2312" w:cs="Times New Roman"/>
          <w:color w:val="auto"/>
          <w:sz w:val="32"/>
          <w:szCs w:val="32"/>
          <w:lang w:eastAsia="zh-CN"/>
        </w:rPr>
        <w:t>高度重视代表委员联络工作。邀请</w:t>
      </w:r>
      <w:r>
        <w:rPr>
          <w:rFonts w:hint="eastAsia" w:ascii="仿宋_GB2312" w:hAnsi="仿宋_GB2312" w:eastAsia="仿宋_GB2312" w:cs="Times New Roman"/>
          <w:color w:val="auto"/>
          <w:sz w:val="32"/>
          <w:szCs w:val="32"/>
          <w:lang w:val="en-US" w:eastAsia="zh-CN"/>
        </w:rPr>
        <w:t>105名人大代表，政协委员，教师、律师、劳模代表等社会各界人士参加检察开放日、观摩厅、案件审查听证等活</w:t>
      </w:r>
      <w:r>
        <w:rPr>
          <w:rStyle w:val="11"/>
          <w:rFonts w:hint="eastAsia" w:ascii="仿宋_GB2312" w:hAnsi="仿宋_GB2312" w:eastAsia="仿宋_GB2312" w:cs="仿宋_GB2312"/>
          <w:b w:val="0"/>
          <w:bCs/>
          <w:i w:val="0"/>
          <w:caps w:val="0"/>
          <w:color w:val="auto"/>
          <w:spacing w:val="0"/>
          <w:sz w:val="32"/>
          <w:szCs w:val="32"/>
          <w:lang w:val="en-US" w:eastAsia="zh-CN"/>
        </w:rPr>
        <w:t>动，全面了解检察工作，搭建宣传新时代检察形象、职能的桥梁。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N/>
        <w:bidi w:val="0"/>
        <w:spacing w:before="0" w:beforeAutospacing="0" w:after="0" w:afterAutospacing="0" w:line="560" w:lineRule="exact"/>
        <w:ind w:right="0" w:firstLine="640" w:firstLineChars="200"/>
        <w:rPr>
          <w:rStyle w:val="11"/>
          <w:rFonts w:hint="eastAsia" w:ascii="黑体" w:hAnsi="黑体" w:eastAsia="黑体" w:cs="黑体"/>
          <w:b w:val="0"/>
          <w:bCs/>
          <w:i w:val="0"/>
          <w:caps w:val="0"/>
          <w:color w:val="auto"/>
          <w:spacing w:val="0"/>
          <w:sz w:val="32"/>
          <w:szCs w:val="32"/>
          <w:lang w:eastAsia="zh-CN"/>
        </w:rPr>
      </w:pPr>
      <w:r>
        <w:rPr>
          <w:rStyle w:val="11"/>
          <w:rFonts w:hint="eastAsia" w:ascii="黑体" w:hAnsi="黑体" w:eastAsia="黑体" w:cs="黑体"/>
          <w:b w:val="0"/>
          <w:bCs/>
          <w:i w:val="0"/>
          <w:caps w:val="0"/>
          <w:color w:val="auto"/>
          <w:spacing w:val="0"/>
          <w:sz w:val="32"/>
          <w:szCs w:val="32"/>
          <w:lang w:eastAsia="zh-CN"/>
        </w:rPr>
        <w:t>六、坚持全面从严治检，锻造过硬检察队伍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N/>
        <w:bidi w:val="0"/>
        <w:spacing w:before="0" w:beforeAutospacing="0" w:after="0" w:afterAutospacing="0" w:line="560" w:lineRule="exact"/>
        <w:ind w:right="0" w:firstLine="640" w:firstLineChars="200"/>
        <w:rPr>
          <w:rFonts w:hint="eastAsia" w:ascii="楷体_GB2312" w:hAnsi="仿宋_GB2312" w:eastAsia="仿宋_GB2312" w:cs="Times New Roman"/>
          <w:b w:val="0"/>
          <w:bCs w:val="0"/>
          <w:color w:val="auto"/>
          <w:kern w:val="0"/>
          <w:sz w:val="32"/>
          <w:szCs w:val="32"/>
          <w:lang w:val="en-US" w:eastAsia="zh-CN"/>
        </w:rPr>
      </w:pPr>
      <w:r>
        <w:rPr>
          <w:rStyle w:val="11"/>
          <w:rFonts w:hint="eastAsia" w:ascii="仿宋_GB2312" w:hAnsi="仿宋_GB2312" w:eastAsia="仿宋_GB2312" w:cs="仿宋_GB2312"/>
          <w:b w:val="0"/>
          <w:bCs/>
          <w:i w:val="0"/>
          <w:caps w:val="0"/>
          <w:color w:val="auto"/>
          <w:spacing w:val="0"/>
          <w:sz w:val="32"/>
          <w:szCs w:val="32"/>
          <w:lang w:eastAsia="zh-CN"/>
        </w:rPr>
        <w:t>狠抓思想政治建设。</w:t>
      </w:r>
      <w:r>
        <w:rPr>
          <w:rFonts w:hint="eastAsia" w:ascii="仿宋_GB2312" w:hAnsi="宋体" w:eastAsia="仿宋_GB2312" w:cs="宋体"/>
          <w:bCs/>
          <w:color w:val="auto"/>
          <w:kern w:val="0"/>
          <w:sz w:val="32"/>
          <w:szCs w:val="32"/>
        </w:rPr>
        <w:t>以开展主题教育为契机，不断加强思想政治建设，强化理论武装，打造钢班子，锻造铁队伍。</w:t>
      </w:r>
      <w:r>
        <w:rPr>
          <w:rFonts w:hint="eastAsia" w:ascii="仿宋_GB2312" w:eastAsia="仿宋_GB2312"/>
          <w:color w:val="auto"/>
          <w:sz w:val="32"/>
          <w:szCs w:val="32"/>
        </w:rPr>
        <w:t>围绕守初心、担使命、找差距、抓落实的总要求，</w:t>
      </w:r>
      <w:r>
        <w:rPr>
          <w:rFonts w:hint="eastAsia" w:ascii="Times New Roman" w:hAnsi="Times New Roman" w:eastAsia="仿宋_GB2312"/>
          <w:color w:val="auto"/>
          <w:sz w:val="32"/>
          <w:szCs w:val="32"/>
        </w:rPr>
        <w:t>把</w:t>
      </w:r>
      <w:r>
        <w:rPr>
          <w:rFonts w:hint="eastAsia" w:ascii="仿宋_GB2312" w:eastAsia="仿宋_GB2312"/>
          <w:color w:val="auto"/>
          <w:sz w:val="32"/>
          <w:szCs w:val="32"/>
        </w:rPr>
        <w:t>学习教育、调查研究、检视问题、整改落实贯穿始终</w:t>
      </w:r>
      <w:r>
        <w:rPr>
          <w:rFonts w:hint="eastAsia" w:ascii="仿宋_GB2312" w:hAnsi="宋体" w:eastAsia="仿宋_GB2312" w:cs="宋体"/>
          <w:bCs/>
          <w:color w:val="auto"/>
          <w:kern w:val="0"/>
          <w:sz w:val="32"/>
          <w:szCs w:val="32"/>
        </w:rPr>
        <w:t>，</w:t>
      </w:r>
      <w:r>
        <w:rPr>
          <w:rFonts w:hint="eastAsia" w:ascii="仿宋_GB2312" w:hAnsi="仿宋_GB2312" w:eastAsia="仿宋_GB2312" w:cs="仿宋_GB2312"/>
          <w:b w:val="0"/>
          <w:bCs w:val="0"/>
          <w:color w:val="auto"/>
          <w:kern w:val="0"/>
          <w:sz w:val="32"/>
          <w:szCs w:val="32"/>
          <w:lang w:eastAsia="zh-CN"/>
        </w:rPr>
        <w:t>开展党组</w:t>
      </w:r>
      <w:r>
        <w:rPr>
          <w:rFonts w:hint="eastAsia" w:ascii="仿宋_GB2312" w:hAnsi="仿宋_GB2312" w:eastAsia="仿宋_GB2312" w:cs="仿宋_GB2312"/>
          <w:color w:val="auto"/>
          <w:kern w:val="0"/>
          <w:sz w:val="32"/>
          <w:szCs w:val="32"/>
          <w:lang w:eastAsia="zh-CN"/>
        </w:rPr>
        <w:t>中心组学习</w:t>
      </w:r>
      <w:r>
        <w:rPr>
          <w:rFonts w:hint="eastAsia" w:ascii="仿宋_GB2312" w:hAnsi="仿宋_GB2312" w:eastAsia="仿宋_GB2312" w:cs="仿宋_GB2312"/>
          <w:color w:val="auto"/>
          <w:kern w:val="0"/>
          <w:sz w:val="32"/>
          <w:szCs w:val="32"/>
          <w:lang w:val="en-US" w:eastAsia="zh-CN"/>
        </w:rPr>
        <w:t>12次，集中学习28次，党组书记、检察长讲党课16次；</w:t>
      </w:r>
      <w:r>
        <w:rPr>
          <w:rFonts w:hint="eastAsia" w:ascii="仿宋_GB2312" w:hAnsi="仿宋_GB2312" w:eastAsia="仿宋_GB2312" w:cs="仿宋_GB2312"/>
          <w:color w:val="auto"/>
          <w:kern w:val="0"/>
          <w:sz w:val="32"/>
          <w:szCs w:val="32"/>
          <w:lang w:eastAsia="zh-CN"/>
        </w:rPr>
        <w:t>通过重温入党誓词</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宪法宣誓</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观看爱国教育影片</w:t>
      </w:r>
      <w:r>
        <w:rPr>
          <w:rFonts w:hint="eastAsia" w:ascii="仿宋_GB2312" w:hAnsi="仿宋_GB2312" w:eastAsia="仿宋_GB2312" w:cs="仿宋_GB2312"/>
          <w:color w:val="auto"/>
          <w:kern w:val="0"/>
          <w:sz w:val="32"/>
          <w:szCs w:val="32"/>
          <w:lang w:val="en-US" w:eastAsia="zh-CN"/>
        </w:rPr>
        <w:t>,深入学习张富清、杜富国、黄文秀等先进模范人物系列主题活动，不断深刻领悟习近平总书记关于初心、使命的重要论述和英雄典型人物的感人精神，激发全院干警守初心、担使命，积极投身于新时代检察事业。</w:t>
      </w:r>
      <w:r>
        <w:rPr>
          <w:rFonts w:hint="eastAsia" w:ascii="仿宋_GB2312" w:hAnsi="宋体" w:eastAsia="仿宋_GB2312" w:cs="宋体"/>
          <w:bCs/>
          <w:color w:val="auto"/>
          <w:kern w:val="0"/>
          <w:sz w:val="32"/>
          <w:szCs w:val="32"/>
        </w:rPr>
        <w:t>坚持从严治检，聚焦8+2专项</w:t>
      </w:r>
      <w:r>
        <w:rPr>
          <w:rFonts w:hint="eastAsia" w:ascii="Times New Roman" w:hAnsi="Times New Roman" w:eastAsia="仿宋_GB2312" w:cs="宋体"/>
          <w:color w:val="auto"/>
          <w:sz w:val="32"/>
          <w:szCs w:val="32"/>
        </w:rPr>
        <w:t>整治，解决在执法为民、司法办案等方面问题</w:t>
      </w:r>
      <w:r>
        <w:rPr>
          <w:rFonts w:hint="eastAsia" w:ascii="Times New Roman" w:hAnsi="Times New Roman" w:eastAsia="仿宋_GB2312" w:cs="宋体"/>
          <w:color w:val="auto"/>
          <w:sz w:val="32"/>
          <w:szCs w:val="32"/>
          <w:lang w:val="en-US" w:eastAsia="zh-CN"/>
        </w:rPr>
        <w:t>67</w:t>
      </w:r>
      <w:r>
        <w:rPr>
          <w:rFonts w:hint="eastAsia" w:ascii="Times New Roman" w:hAnsi="Times New Roman" w:eastAsia="仿宋_GB2312" w:cs="宋体"/>
          <w:color w:val="auto"/>
          <w:sz w:val="32"/>
          <w:szCs w:val="32"/>
        </w:rPr>
        <w:t>条，立查立改</w:t>
      </w:r>
      <w:r>
        <w:rPr>
          <w:rFonts w:hint="eastAsia" w:ascii="Times New Roman" w:hAnsi="Times New Roman" w:eastAsia="仿宋_GB2312" w:cs="宋体"/>
          <w:color w:val="auto"/>
          <w:sz w:val="32"/>
          <w:szCs w:val="32"/>
          <w:lang w:val="en-US" w:eastAsia="zh-CN"/>
        </w:rPr>
        <w:t>58</w:t>
      </w:r>
      <w:r>
        <w:rPr>
          <w:rFonts w:hint="eastAsia" w:ascii="Times New Roman" w:hAnsi="Times New Roman" w:eastAsia="仿宋_GB2312" w:cs="宋体"/>
          <w:color w:val="auto"/>
          <w:sz w:val="32"/>
          <w:szCs w:val="32"/>
        </w:rPr>
        <w:t>条。</w:t>
      </w:r>
      <w:r>
        <w:rPr>
          <w:rFonts w:hint="eastAsia" w:ascii="Times New Roman" w:hAnsi="Times New Roman" w:eastAsia="仿宋_GB2312"/>
          <w:color w:val="auto"/>
          <w:sz w:val="32"/>
          <w:szCs w:val="32"/>
        </w:rPr>
        <w:t>突出建章立制，对落实整改和深化措施的做法经验进行梳理总结，形成有效管用的规章制度、长效机制，从制度上补短板、堵漏洞、固根本，不断巩固主题教育成果</w:t>
      </w:r>
      <w:r>
        <w:rPr>
          <w:rFonts w:hint="eastAsia" w:ascii="Times New Roman" w:hAnsi="Times New Roman" w:eastAsia="仿宋_GB2312"/>
          <w:color w:val="auto"/>
          <w:sz w:val="32"/>
          <w:szCs w:val="32"/>
          <w:lang w:eastAsia="zh-CN"/>
        </w:rPr>
        <w:t>。</w:t>
      </w:r>
    </w:p>
    <w:p>
      <w:pPr>
        <w:keepNext w:val="0"/>
        <w:keepLines w:val="0"/>
        <w:pageBreakBefore w:val="0"/>
        <w:kinsoku/>
        <w:wordWrap/>
        <w:topLinePunct w:val="0"/>
        <w:autoSpaceDN/>
        <w:bidi w:val="0"/>
        <w:adjustRightInd w:val="0"/>
        <w:snapToGrid w:val="0"/>
        <w:spacing w:line="560" w:lineRule="exact"/>
        <w:ind w:firstLine="640" w:firstLineChars="200"/>
        <w:rPr>
          <w:rFonts w:hint="eastAsia" w:ascii="楷体_GB2312" w:hAnsi="仿宋_GB2312" w:eastAsia="仿宋_GB2312"/>
          <w:color w:val="auto"/>
          <w:sz w:val="32"/>
          <w:szCs w:val="32"/>
          <w:lang w:eastAsia="zh-CN"/>
        </w:rPr>
      </w:pPr>
      <w:r>
        <w:rPr>
          <w:rFonts w:hint="eastAsia" w:ascii="楷体_GB2312" w:hAnsi="仿宋_GB2312" w:eastAsia="楷体_GB2312" w:cs="Times New Roman"/>
          <w:color w:val="auto"/>
          <w:kern w:val="0"/>
          <w:sz w:val="32"/>
          <w:szCs w:val="32"/>
          <w:lang w:eastAsia="zh-CN"/>
        </w:rPr>
        <w:t>狠抓素质能力建设</w:t>
      </w:r>
      <w:r>
        <w:rPr>
          <w:rFonts w:hint="eastAsia" w:ascii="楷体_GB2312" w:hAnsi="仿宋_GB2312" w:eastAsia="楷体_GB2312" w:cs="Times New Roman"/>
          <w:color w:val="auto"/>
          <w:kern w:val="0"/>
          <w:sz w:val="32"/>
          <w:szCs w:val="32"/>
        </w:rPr>
        <w:t>。</w:t>
      </w:r>
      <w:r>
        <w:rPr>
          <w:rFonts w:hint="eastAsia" w:ascii="仿宋_GB2312" w:hAnsi="仿宋_GB2312" w:eastAsia="仿宋_GB2312" w:cs="仿宋_GB2312"/>
          <w:color w:val="auto"/>
          <w:sz w:val="32"/>
          <w:szCs w:val="32"/>
          <w:lang w:val="zh-CN"/>
        </w:rPr>
        <w:t>按照“五个过硬”要求，</w:t>
      </w:r>
      <w:r>
        <w:rPr>
          <w:rFonts w:hint="eastAsia" w:ascii="Times New Roman" w:hAnsi="Times New Roman" w:eastAsia="仿宋_GB2312"/>
          <w:color w:val="auto"/>
          <w:sz w:val="32"/>
          <w:szCs w:val="32"/>
        </w:rPr>
        <w:t>依托“理论大学堂、法律大讲堂、实践大课堂”三大平台，</w:t>
      </w:r>
      <w:r>
        <w:rPr>
          <w:rFonts w:hint="eastAsia" w:ascii="仿宋_GB2312" w:hAnsi="仿宋_GB2312" w:eastAsia="仿宋_GB2312" w:cs="仿宋_GB2312"/>
          <w:color w:val="auto"/>
          <w:sz w:val="32"/>
          <w:szCs w:val="32"/>
          <w:lang w:val="zh-CN"/>
        </w:rPr>
        <w:t>大力推行“全员、全科、全年”培训和“真案、真庭、真人”实训，强胆魄提速能，活血造血。依托高检院“检答网”业务研讨交流平台，全面提升检察人员业务素能</w:t>
      </w:r>
      <w:r>
        <w:rPr>
          <w:rFonts w:hint="eastAsia" w:ascii="仿宋_GB2312" w:hAnsi="仿宋_GB2312" w:eastAsia="仿宋_GB2312" w:cs="仿宋_GB2312"/>
          <w:i w:val="0"/>
          <w:caps w:val="0"/>
          <w:color w:val="auto"/>
          <w:spacing w:val="0"/>
          <w:sz w:val="32"/>
          <w:szCs w:val="32"/>
        </w:rPr>
        <w:t>。</w:t>
      </w:r>
      <w:r>
        <w:rPr>
          <w:rFonts w:hint="eastAsia" w:ascii="仿宋_GB2312" w:eastAsia="仿宋_GB2312"/>
          <w:color w:val="auto"/>
          <w:sz w:val="32"/>
          <w:szCs w:val="32"/>
        </w:rPr>
        <w:t>张治新副检察长撰写的《完善公益诉讼中检察机关调查核实权的思考》荣获首届“天山论检”优秀论文三等奖，</w:t>
      </w:r>
      <w:r>
        <w:rPr>
          <w:rFonts w:hint="eastAsia" w:ascii="仿宋_GB2312" w:eastAsia="仿宋_GB2312"/>
          <w:color w:val="auto"/>
          <w:sz w:val="32"/>
          <w:szCs w:val="32"/>
          <w:lang w:eastAsia="zh-CN"/>
        </w:rPr>
        <w:t>第二检察部</w:t>
      </w:r>
      <w:r>
        <w:rPr>
          <w:rFonts w:hint="eastAsia" w:ascii="仿宋_GB2312" w:eastAsia="仿宋_GB2312"/>
          <w:color w:val="auto"/>
          <w:sz w:val="32"/>
          <w:szCs w:val="32"/>
        </w:rPr>
        <w:t>副主任关鹏代表伊犁州参加第二届全疆检察机关未成年人检察业务竞赛。</w:t>
      </w:r>
    </w:p>
    <w:p>
      <w:pPr>
        <w:pStyle w:val="7"/>
        <w:keepNext w:val="0"/>
        <w:keepLines w:val="0"/>
        <w:pageBreakBefore w:val="0"/>
        <w:widowControl/>
        <w:kinsoku/>
        <w:wordWrap/>
        <w:topLinePunct w:val="0"/>
        <w:autoSpaceDE w:val="0"/>
        <w:autoSpaceDN/>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Times New Roman"/>
          <w:color w:val="auto"/>
          <w:sz w:val="32"/>
          <w:szCs w:val="32"/>
        </w:rPr>
      </w:pPr>
      <w:r>
        <w:rPr>
          <w:rFonts w:hint="eastAsia" w:ascii="楷体_GB2312" w:hAnsi="仿宋_GB2312" w:eastAsia="楷体_GB2312"/>
          <w:color w:val="auto"/>
          <w:sz w:val="32"/>
          <w:szCs w:val="32"/>
          <w:lang w:eastAsia="zh-CN"/>
        </w:rPr>
        <w:t>狠抓纪律作风建设</w:t>
      </w:r>
      <w:r>
        <w:rPr>
          <w:rFonts w:hint="eastAsia" w:ascii="楷体_GB2312" w:hAnsi="仿宋_GB2312" w:eastAsia="楷体_GB2312"/>
          <w:color w:val="auto"/>
          <w:sz w:val="32"/>
          <w:szCs w:val="32"/>
        </w:rPr>
        <w:t>。</w:t>
      </w:r>
      <w:r>
        <w:rPr>
          <w:rFonts w:hint="eastAsia" w:ascii="仿宋_GB2312" w:eastAsia="仿宋_GB2312"/>
          <w:color w:val="auto"/>
          <w:sz w:val="32"/>
          <w:szCs w:val="32"/>
        </w:rPr>
        <w:t>把落实党风廉政建设“两个责任”列入党组班子、领导干部目标管理，督促落实“一岗双责”。</w:t>
      </w:r>
      <w:r>
        <w:rPr>
          <w:rFonts w:hint="eastAsia" w:ascii="仿宋_GB2312" w:eastAsia="仿宋_GB2312"/>
          <w:color w:val="auto"/>
          <w:sz w:val="32"/>
          <w:szCs w:val="32"/>
          <w:lang w:eastAsia="zh-CN"/>
        </w:rPr>
        <w:t>严格落实最高检制发的</w:t>
      </w:r>
      <w:r>
        <w:rPr>
          <w:rFonts w:hint="eastAsia" w:ascii="仿宋_GB2312" w:hAnsi="Calibri" w:eastAsia="仿宋_GB2312"/>
          <w:color w:val="auto"/>
          <w:kern w:val="2"/>
          <w:sz w:val="32"/>
          <w:szCs w:val="32"/>
        </w:rPr>
        <w:t>《过问或干预、插手检察办案等重大事项记录报告制度》</w:t>
      </w:r>
      <w:r>
        <w:rPr>
          <w:rFonts w:hint="eastAsia" w:ascii="仿宋_GB2312" w:hAnsi="Calibri" w:eastAsia="仿宋_GB2312"/>
          <w:color w:val="auto"/>
          <w:kern w:val="2"/>
          <w:sz w:val="32"/>
          <w:szCs w:val="32"/>
          <w:lang w:eastAsia="zh-CN"/>
        </w:rPr>
        <w:t>，</w:t>
      </w:r>
      <w:r>
        <w:rPr>
          <w:rFonts w:hint="eastAsia" w:ascii="仿宋_GB2312" w:hAnsi="Calibri" w:eastAsia="仿宋_GB2312"/>
          <w:color w:val="auto"/>
          <w:kern w:val="2"/>
          <w:sz w:val="32"/>
          <w:szCs w:val="32"/>
          <w:lang w:eastAsia="zh-CN"/>
        </w:rPr>
        <w:t>全院干警</w:t>
      </w:r>
      <w:r>
        <w:rPr>
          <w:rFonts w:hint="eastAsia" w:ascii="仿宋_GB2312" w:hAnsi="Calibri" w:eastAsia="仿宋_GB2312"/>
          <w:color w:val="auto"/>
          <w:kern w:val="2"/>
          <w:sz w:val="32"/>
          <w:szCs w:val="32"/>
        </w:rPr>
        <w:t>开展自查</w:t>
      </w:r>
      <w:r>
        <w:rPr>
          <w:rFonts w:hint="eastAsia" w:ascii="仿宋_GB2312" w:hAnsi="Calibri" w:eastAsia="仿宋_GB2312"/>
          <w:color w:val="auto"/>
          <w:kern w:val="2"/>
          <w:sz w:val="32"/>
          <w:szCs w:val="32"/>
          <w:lang w:eastAsia="zh-CN"/>
        </w:rPr>
        <w:t>。</w:t>
      </w:r>
      <w:r>
        <w:rPr>
          <w:rFonts w:hint="eastAsia" w:ascii="仿宋_GB2312" w:hAnsi="仿宋_GB2312" w:eastAsia="仿宋_GB2312"/>
          <w:color w:val="auto"/>
          <w:sz w:val="32"/>
          <w:szCs w:val="32"/>
        </w:rPr>
        <w:t>以作风整治为抓手，常态化开展检务督察</w:t>
      </w:r>
      <w:r>
        <w:rPr>
          <w:rFonts w:hint="eastAsia" w:ascii="仿宋_GB2312" w:hAnsi="仿宋_GB2312" w:eastAsia="仿宋_GB2312"/>
          <w:color w:val="auto"/>
          <w:sz w:val="32"/>
          <w:szCs w:val="32"/>
          <w:lang w:eastAsia="zh-CN"/>
        </w:rPr>
        <w:t>，</w:t>
      </w:r>
      <w:r>
        <w:rPr>
          <w:rFonts w:hint="eastAsia" w:ascii="仿宋_GB2312" w:hAnsi="仿宋_GB2312" w:eastAsia="仿宋_GB2312" w:cs="Times New Roman"/>
          <w:color w:val="auto"/>
          <w:sz w:val="32"/>
          <w:szCs w:val="32"/>
        </w:rPr>
        <w:t>对不严格落实住户纪律以及</w:t>
      </w:r>
      <w:r>
        <w:rPr>
          <w:rFonts w:hint="eastAsia" w:ascii="仿宋_GB2312" w:hAnsi="仿宋_GB2312" w:eastAsia="仿宋_GB2312" w:cs="Times New Roman"/>
          <w:color w:val="auto"/>
          <w:sz w:val="32"/>
          <w:szCs w:val="32"/>
          <w:lang w:eastAsia="zh-CN"/>
        </w:rPr>
        <w:t>违反</w:t>
      </w:r>
      <w:r>
        <w:rPr>
          <w:rFonts w:hint="eastAsia" w:ascii="仿宋_GB2312" w:hAnsi="仿宋_GB2312" w:eastAsia="仿宋_GB2312" w:cs="Times New Roman"/>
          <w:color w:val="auto"/>
          <w:sz w:val="32"/>
          <w:szCs w:val="32"/>
        </w:rPr>
        <w:t>值班备勤制度的17名干警、书记员依规依纪作出处理。同时，院党组着眼干警职业终身发展规划，选派</w:t>
      </w:r>
      <w:r>
        <w:rPr>
          <w:rFonts w:hint="eastAsia" w:ascii="仿宋_GB2312" w:hAnsi="仿宋_GB2312" w:eastAsia="仿宋_GB2312" w:cs="Times New Roman"/>
          <w:color w:val="auto"/>
          <w:sz w:val="32"/>
          <w:szCs w:val="32"/>
          <w:lang w:val="en-US" w:eastAsia="zh-CN"/>
        </w:rPr>
        <w:t>6</w:t>
      </w:r>
      <w:r>
        <w:rPr>
          <w:rFonts w:hint="eastAsia" w:ascii="仿宋_GB2312" w:hAnsi="仿宋_GB2312" w:eastAsia="仿宋_GB2312" w:cs="Times New Roman"/>
          <w:color w:val="auto"/>
          <w:sz w:val="32"/>
          <w:szCs w:val="32"/>
        </w:rPr>
        <w:t>名优秀干警赴江苏挂职锻炼，解决</w:t>
      </w:r>
      <w:r>
        <w:rPr>
          <w:rFonts w:hint="eastAsia" w:ascii="仿宋_GB2312" w:hAnsi="仿宋_GB2312" w:eastAsia="仿宋_GB2312" w:cs="Times New Roman"/>
          <w:color w:val="auto"/>
          <w:sz w:val="32"/>
          <w:szCs w:val="32"/>
          <w:lang w:val="en-US" w:eastAsia="zh-CN"/>
        </w:rPr>
        <w:t>4</w:t>
      </w:r>
      <w:r>
        <w:rPr>
          <w:rFonts w:hint="eastAsia" w:ascii="仿宋_GB2312" w:hAnsi="仿宋_GB2312" w:eastAsia="仿宋_GB2312" w:cs="Times New Roman"/>
          <w:color w:val="auto"/>
          <w:sz w:val="32"/>
          <w:szCs w:val="32"/>
        </w:rPr>
        <w:t>名</w:t>
      </w:r>
      <w:r>
        <w:rPr>
          <w:rFonts w:hint="eastAsia" w:ascii="仿宋_GB2312" w:hAnsi="仿宋_GB2312" w:eastAsia="仿宋_GB2312" w:cs="Times New Roman"/>
          <w:color w:val="auto"/>
          <w:sz w:val="32"/>
          <w:szCs w:val="32"/>
          <w:lang w:eastAsia="zh-CN"/>
        </w:rPr>
        <w:t>年轻</w:t>
      </w:r>
      <w:r>
        <w:rPr>
          <w:rFonts w:hint="eastAsia" w:ascii="仿宋_GB2312" w:hAnsi="仿宋_GB2312" w:eastAsia="仿宋_GB2312" w:cs="Times New Roman"/>
          <w:color w:val="auto"/>
          <w:sz w:val="32"/>
          <w:szCs w:val="32"/>
        </w:rPr>
        <w:t>干警副科待遇，有效激发了检察干警干事创业的动能。</w:t>
      </w:r>
    </w:p>
    <w:p>
      <w:pPr>
        <w:keepNext w:val="0"/>
        <w:keepLines w:val="0"/>
        <w:pageBreakBefore w:val="0"/>
        <w:kinsoku/>
        <w:wordWrap/>
        <w:overflowPunct w:val="0"/>
        <w:topLinePunct w:val="0"/>
        <w:autoSpaceDN/>
        <w:bidi w:val="0"/>
        <w:spacing w:line="56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各位代表，</w:t>
      </w:r>
      <w:r>
        <w:rPr>
          <w:rFonts w:hint="eastAsia" w:ascii="仿宋_GB2312" w:hAnsi="仿宋_GB2312" w:eastAsia="仿宋_GB2312" w:cs="仿宋_GB2312"/>
          <w:color w:val="auto"/>
          <w:sz w:val="32"/>
          <w:szCs w:val="32"/>
          <w:lang w:val="en-US" w:eastAsia="zh-CN"/>
        </w:rPr>
        <w:t>2019，是辉煌灿烂的一年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年来，我们在习近平新时代中国特色社会主义思想光辉旗帜的指引下，坚定贯彻新时代党的治疆方略，在服务保障新疆稳定发展大局中担当作为，彰显法治力量，传递检察温度；一年来，我们时刻站在人民群众的角度，守在群众身边，始终做到与党同心、与民同心、与法同心；一年来我们迎来了深化改革的一年，内设机构迎来了重塑性变革，形成了“四大检察”“十大业务”的法律监督格局；一年来，我们持续深入开展扫黑除恶、严打专项斗争和服务保障打好“三大攻坚战”，增强人民群众的安全感和幸福感；一年来，我们拓展公益诉讼范围，</w:t>
      </w:r>
      <w:r>
        <w:rPr>
          <w:rFonts w:hint="eastAsia" w:ascii="仿宋_GB2312" w:hAnsi="仿宋_GB2312" w:eastAsia="仿宋_GB2312"/>
          <w:color w:val="auto"/>
          <w:sz w:val="32"/>
          <w:szCs w:val="32"/>
        </w:rPr>
        <w:t>深入开展“三上</w:t>
      </w:r>
      <w:r>
        <w:rPr>
          <w:rFonts w:hint="eastAsia" w:ascii="仿宋_GB2312" w:hAnsi="仿宋_GB2312" w:eastAsia="仿宋_GB2312"/>
          <w:color w:val="auto"/>
          <w:sz w:val="32"/>
          <w:szCs w:val="32"/>
          <w:lang w:eastAsia="zh-CN"/>
        </w:rPr>
        <w:t>（舌尖上、车轮上、家门上）</w:t>
      </w:r>
      <w:r>
        <w:rPr>
          <w:rFonts w:hint="eastAsia" w:ascii="仿宋_GB2312" w:hAnsi="仿宋_GB2312" w:eastAsia="仿宋_GB2312"/>
          <w:color w:val="auto"/>
          <w:sz w:val="32"/>
          <w:szCs w:val="32"/>
        </w:rPr>
        <w:t>安全”</w:t>
      </w:r>
      <w:r>
        <w:rPr>
          <w:rFonts w:hint="eastAsia" w:ascii="仿宋_GB2312" w:hAnsi="仿宋_GB2312" w:eastAsia="仿宋_GB2312" w:cs="仿宋_GB2312"/>
          <w:color w:val="auto"/>
          <w:sz w:val="32"/>
          <w:szCs w:val="32"/>
          <w:lang w:val="en-US" w:eastAsia="zh-CN"/>
        </w:rPr>
        <w:t>专项行动，让人民群众吃住行用更放心。</w:t>
      </w:r>
    </w:p>
    <w:p>
      <w:pPr>
        <w:keepNext w:val="0"/>
        <w:keepLines w:val="0"/>
        <w:pageBreakBefore w:val="0"/>
        <w:kinsoku/>
        <w:wordWrap/>
        <w:overflowPunct w:val="0"/>
        <w:topLinePunct w:val="0"/>
        <w:autoSpaceDN/>
        <w:bidi w:val="0"/>
        <w:spacing w:line="56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各位代表，过去的一年，伊宁县人民检察院在新一轮改革发展的关键时期迈出了坚</w:t>
      </w:r>
      <w:r>
        <w:rPr>
          <w:rFonts w:hint="eastAsia" w:ascii="仿宋_GB2312" w:hAnsi="仿宋_GB2312" w:eastAsia="仿宋_GB2312" w:cs="Times New Roman"/>
          <w:color w:val="auto"/>
          <w:sz w:val="32"/>
          <w:szCs w:val="32"/>
          <w:lang w:val="en-US" w:eastAsia="zh-CN"/>
        </w:rPr>
        <w:t>实步伐，这是县委和上级检察机关正确领导的结果，是县人大及其常委会有力监督的结果，是县政府、政协大力支持的结果，是广大群众、县乡镇党政机关、各位代表、各位委</w:t>
      </w:r>
      <w:r>
        <w:rPr>
          <w:rFonts w:hint="eastAsia" w:ascii="仿宋_GB2312" w:hAnsi="仿宋_GB2312" w:eastAsia="仿宋_GB2312" w:cs="仿宋_GB2312"/>
          <w:color w:val="auto"/>
          <w:sz w:val="32"/>
          <w:szCs w:val="32"/>
          <w:lang w:val="en-US" w:eastAsia="zh-CN"/>
        </w:rPr>
        <w:t>员和社会各界关心、支持、帮助的结果。在此，我代表伊宁县人民检察院和全体干警表示衷心感谢！</w:t>
      </w:r>
    </w:p>
    <w:p>
      <w:pPr>
        <w:keepNext w:val="0"/>
        <w:keepLines w:val="0"/>
        <w:pageBreakBefore w:val="0"/>
        <w:kinsoku/>
        <w:wordWrap/>
        <w:overflowPunct w:val="0"/>
        <w:topLinePunct w:val="0"/>
        <w:autoSpaceDN/>
        <w:bidi w:val="0"/>
        <w:spacing w:line="560" w:lineRule="exact"/>
        <w:ind w:firstLine="640" w:firstLineChars="200"/>
        <w:textAlignment w:val="baseline"/>
        <w:rPr>
          <w:rFonts w:hint="eastAsia" w:ascii="仿宋_GB2312" w:hAnsi="宋体"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在总结成绩的同时，我们也清醒的认识到，伊宁县检察工作还存在诸多问题和不足，面临很大</w:t>
      </w:r>
      <w:r>
        <w:rPr>
          <w:rFonts w:hint="eastAsia" w:ascii="仿宋_GB2312" w:hAnsi="仿宋_GB2312" w:eastAsia="仿宋_GB2312" w:cs="Times New Roman"/>
          <w:color w:val="auto"/>
          <w:sz w:val="32"/>
          <w:szCs w:val="32"/>
          <w:lang w:val="en-US" w:eastAsia="zh-CN"/>
        </w:rPr>
        <w:t>困难和挑战</w:t>
      </w:r>
      <w:r>
        <w:rPr>
          <w:rFonts w:hint="eastAsia" w:ascii="仿宋_GB2312" w:hAnsi="仿宋_GB2312" w:eastAsia="仿宋_GB2312" w:cs="Times New Roman"/>
          <w:b/>
          <w:bCs/>
          <w:color w:val="auto"/>
          <w:sz w:val="32"/>
          <w:szCs w:val="32"/>
          <w:lang w:val="en-US" w:eastAsia="zh-CN"/>
        </w:rPr>
        <w:t>。一是</w:t>
      </w:r>
      <w:r>
        <w:rPr>
          <w:rFonts w:hint="eastAsia" w:ascii="仿宋_GB2312" w:hAnsi="仿宋_GB2312" w:eastAsia="仿宋_GB2312" w:cs="Times New Roman"/>
          <w:color w:val="auto"/>
          <w:sz w:val="32"/>
          <w:szCs w:val="32"/>
          <w:lang w:val="en-US" w:eastAsia="zh-CN"/>
        </w:rPr>
        <w:t>队伍建设方面，干警的“四个意识”有待进一步提升，满足社会稳定和长治久安总目标司法需求的能力有待进一步提高；</w:t>
      </w:r>
      <w:r>
        <w:rPr>
          <w:rFonts w:hint="eastAsia" w:ascii="仿宋_GB2312" w:hAnsi="仿宋_GB2312" w:eastAsia="仿宋_GB2312" w:cs="Times New Roman"/>
          <w:b/>
          <w:bCs/>
          <w:color w:val="auto"/>
          <w:sz w:val="32"/>
          <w:szCs w:val="32"/>
          <w:lang w:val="en-US" w:eastAsia="zh-CN"/>
        </w:rPr>
        <w:t>二是</w:t>
      </w:r>
      <w:r>
        <w:rPr>
          <w:rFonts w:hint="eastAsia" w:ascii="仿宋_GB2312" w:hAnsi="仿宋_GB2312" w:eastAsia="仿宋_GB2312" w:cs="Times New Roman"/>
          <w:color w:val="auto"/>
          <w:sz w:val="32"/>
          <w:szCs w:val="32"/>
          <w:lang w:val="en-US" w:eastAsia="zh-CN"/>
        </w:rPr>
        <w:t>司法效率不高、司法能力不足问题仍然突出，公益诉讼检察建议质量不高、针对性不强、落实刚性不足；</w:t>
      </w:r>
      <w:r>
        <w:rPr>
          <w:rFonts w:hint="eastAsia" w:ascii="仿宋_GB2312" w:hAnsi="仿宋_GB2312" w:eastAsia="仿宋_GB2312" w:cs="Times New Roman"/>
          <w:b/>
          <w:bCs/>
          <w:color w:val="auto"/>
          <w:sz w:val="32"/>
          <w:szCs w:val="32"/>
          <w:lang w:val="en-US" w:eastAsia="zh-CN"/>
        </w:rPr>
        <w:t>三是</w:t>
      </w:r>
      <w:r>
        <w:rPr>
          <w:rFonts w:hint="eastAsia" w:ascii="仿宋_GB2312" w:hAnsi="仿宋_GB2312" w:eastAsia="仿宋_GB2312" w:cs="Times New Roman"/>
          <w:color w:val="auto"/>
          <w:sz w:val="32"/>
          <w:szCs w:val="32"/>
          <w:lang w:val="en-US" w:eastAsia="zh-CN"/>
        </w:rPr>
        <w:t>服务经济社会发展的针对性和实效性有待增强，重研究部署、轻督促落实、简单办案、机械司法的现象依然存在。所有这些，我们将不推不诿，不等不靠，改革创新，积极作为，争</w:t>
      </w:r>
      <w:r>
        <w:rPr>
          <w:rFonts w:hint="eastAsia" w:ascii="仿宋_GB2312" w:hAnsi="宋体" w:eastAsia="仿宋_GB2312"/>
          <w:color w:val="auto"/>
          <w:sz w:val="32"/>
          <w:szCs w:val="32"/>
          <w:lang w:val="en-US" w:eastAsia="zh-CN"/>
        </w:rPr>
        <w:t>取支持，久久为功，努力加以克服。</w:t>
      </w:r>
    </w:p>
    <w:p>
      <w:pPr>
        <w:spacing w:beforeLines="50" w:line="560" w:lineRule="exact"/>
        <w:ind w:right="105" w:rightChars="50" w:firstLine="640" w:firstLineChars="200"/>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2020年工作打算</w:t>
      </w:r>
    </w:p>
    <w:p>
      <w:pPr>
        <w:spacing w:beforeLines="50" w:line="560" w:lineRule="exact"/>
        <w:ind w:right="105" w:rightChars="50" w:firstLine="640" w:firstLineChars="200"/>
        <w:rPr>
          <w:rFonts w:hint="eastAsia" w:ascii="仿宋_GB2312" w:eastAsia="仿宋_GB2312"/>
          <w:color w:val="auto"/>
          <w:sz w:val="32"/>
          <w:szCs w:val="32"/>
          <w:lang w:eastAsia="zh-CN"/>
        </w:rPr>
      </w:pPr>
      <w:r>
        <w:rPr>
          <w:rFonts w:hint="eastAsia" w:ascii="仿宋_GB2312" w:hAnsi="宋体" w:eastAsia="仿宋_GB2312"/>
          <w:color w:val="auto"/>
          <w:sz w:val="32"/>
          <w:szCs w:val="32"/>
          <w:lang w:val="en-US" w:eastAsia="zh-CN"/>
        </w:rPr>
        <w:t>2020年是全面建成小康社会的收官之年，也是</w:t>
      </w:r>
      <w:r>
        <w:rPr>
          <w:rFonts w:hint="eastAsia" w:ascii="仿宋_GB2312" w:eastAsia="仿宋_GB2312"/>
          <w:color w:val="auto"/>
          <w:sz w:val="32"/>
          <w:szCs w:val="32"/>
          <w:lang w:val="en-US" w:eastAsia="zh-CN"/>
        </w:rPr>
        <w:t>实现第一个百年奋斗目标的关键之年。</w:t>
      </w:r>
      <w:r>
        <w:rPr>
          <w:rFonts w:hint="eastAsia" w:ascii="仿宋_GB2312" w:eastAsia="仿宋_GB2312"/>
          <w:color w:val="auto"/>
          <w:sz w:val="32"/>
          <w:szCs w:val="32"/>
        </w:rPr>
        <w:t>伊宁县人民检察院坚持以习近平新时代中国特色社会主义思想为指导，深入贯彻落实党的十九大和十九届</w:t>
      </w:r>
      <w:r>
        <w:rPr>
          <w:rFonts w:hint="eastAsia" w:ascii="仿宋_GB2312" w:eastAsia="仿宋_GB2312"/>
          <w:color w:val="auto"/>
          <w:sz w:val="32"/>
          <w:szCs w:val="32"/>
          <w:lang w:eastAsia="zh-CN"/>
        </w:rPr>
        <w:t>二中、三中、</w:t>
      </w:r>
      <w:r>
        <w:rPr>
          <w:rFonts w:hint="eastAsia" w:ascii="仿宋_GB2312" w:eastAsia="仿宋_GB2312"/>
          <w:color w:val="auto"/>
          <w:sz w:val="32"/>
          <w:szCs w:val="32"/>
        </w:rPr>
        <w:t>四中全会精神</w:t>
      </w:r>
      <w:r>
        <w:rPr>
          <w:rFonts w:hint="eastAsia" w:ascii="仿宋_GB2312" w:eastAsia="仿宋_GB2312"/>
          <w:color w:val="auto"/>
          <w:sz w:val="32"/>
          <w:szCs w:val="32"/>
          <w:lang w:eastAsia="zh-CN"/>
        </w:rPr>
        <w:t>、新时代党的治疆方略、州党委工作会议精神</w:t>
      </w:r>
      <w:r>
        <w:rPr>
          <w:rFonts w:hint="eastAsia" w:ascii="仿宋_GB2312" w:eastAsia="仿宋_GB2312"/>
          <w:color w:val="auto"/>
          <w:sz w:val="32"/>
          <w:szCs w:val="32"/>
        </w:rPr>
        <w:t>，</w:t>
      </w:r>
      <w:r>
        <w:rPr>
          <w:rFonts w:hint="eastAsia" w:ascii="仿宋_GB2312" w:eastAsia="仿宋_GB2312"/>
          <w:color w:val="auto"/>
          <w:sz w:val="32"/>
          <w:szCs w:val="32"/>
          <w:lang w:eastAsia="zh-CN"/>
        </w:rPr>
        <w:t>按照“讲政治、顾大局、谋发展、重自强”的总要求，</w:t>
      </w:r>
      <w:r>
        <w:rPr>
          <w:rFonts w:hint="eastAsia" w:eastAsia="仿宋_GB2312" w:cs="Times New Roman"/>
          <w:color w:val="auto"/>
          <w:sz w:val="32"/>
          <w:szCs w:val="32"/>
          <w:lang w:eastAsia="zh-CN"/>
        </w:rPr>
        <w:t>聚焦社会稳定和长治久安总目标，聚力决胜全面建成小康社会，扎实推进国家治理体系和治理能力现代化，坚持“好中求优，做好内功，为发展服务，为人民司法”的工作思路，以人民满意为目标，以司法办案为中心，以队伍建设为保障，以改革创新为动力，推动各项法律监督工作全面协调充分发展</w:t>
      </w:r>
      <w:r>
        <w:rPr>
          <w:rFonts w:hint="eastAsia" w:eastAsia="仿宋_GB2312" w:cs="Times New Roman"/>
          <w:color w:val="auto"/>
          <w:sz w:val="32"/>
          <w:szCs w:val="32"/>
          <w:lang w:eastAsia="zh-CN"/>
        </w:rPr>
        <w:t>，努力为开创</w:t>
      </w:r>
      <w:r>
        <w:rPr>
          <w:rFonts w:hint="eastAsia" w:ascii="仿宋_GB2312" w:eastAsia="仿宋_GB2312"/>
          <w:color w:val="auto"/>
          <w:sz w:val="32"/>
          <w:szCs w:val="32"/>
          <w:lang w:eastAsia="zh-CN"/>
        </w:rPr>
        <w:t>社会稳定和长治久安新局面提供更加有力的司法保障。</w:t>
      </w:r>
    </w:p>
    <w:p>
      <w:pPr>
        <w:keepNext w:val="0"/>
        <w:keepLines w:val="0"/>
        <w:pageBreakBefore w:val="0"/>
        <w:kinsoku/>
        <w:wordWrap/>
        <w:topLinePunct w:val="0"/>
        <w:autoSpaceDN/>
        <w:bidi w:val="0"/>
        <w:adjustRightInd w:val="0"/>
        <w:snapToGrid w:val="0"/>
        <w:spacing w:line="560" w:lineRule="exact"/>
        <w:ind w:firstLine="640" w:firstLineChars="200"/>
        <w:rPr>
          <w:rFonts w:hint="eastAsia" w:ascii="仿宋_GB2312" w:eastAsia="仿宋_GB2312"/>
          <w:color w:val="auto"/>
          <w:sz w:val="32"/>
          <w:szCs w:val="32"/>
          <w:lang w:eastAsia="zh-CN"/>
        </w:rPr>
      </w:pPr>
      <w:r>
        <w:rPr>
          <w:rFonts w:hint="eastAsia" w:ascii="楷体_GB2312" w:hAnsi="楷体_GB2312" w:eastAsia="楷体_GB2312" w:cs="楷体_GB2312"/>
          <w:b w:val="0"/>
          <w:bCs w:val="0"/>
          <w:color w:val="auto"/>
          <w:sz w:val="32"/>
          <w:szCs w:val="32"/>
          <w:lang w:eastAsia="zh-CN"/>
        </w:rPr>
        <w:t>一是坚持政治统领，把党对检察工作的绝对领导落到实处。</w:t>
      </w:r>
      <w:r>
        <w:rPr>
          <w:rFonts w:hint="eastAsia" w:ascii="仿宋_GB2312" w:hAnsi="仿宋_GB2312" w:eastAsia="仿宋_GB2312" w:cs="仿宋_GB2312"/>
          <w:b w:val="0"/>
          <w:bCs w:val="0"/>
          <w:color w:val="auto"/>
          <w:sz w:val="32"/>
          <w:szCs w:val="32"/>
          <w:lang w:eastAsia="zh-CN"/>
        </w:rPr>
        <w:t>深入学习贯彻习近平新时代中国特色社会主义思想和十九届四中全会精神，</w:t>
      </w:r>
      <w:r>
        <w:rPr>
          <w:rFonts w:hint="eastAsia" w:ascii="仿宋_GB2312" w:hAnsi="仿宋_GB2312" w:eastAsia="仿宋_GB2312" w:cs="仿宋_GB2312"/>
          <w:color w:val="auto"/>
          <w:sz w:val="32"/>
          <w:szCs w:val="32"/>
          <w:lang w:eastAsia="zh-CN"/>
        </w:rPr>
        <w:t>持续巩固和深化“不忘初心、牢记使命”主题教育成果，切实增强“四个意识”，坚定“四个自信”，做到“两个维护”</w:t>
      </w:r>
      <w:r>
        <w:rPr>
          <w:rFonts w:hint="eastAsia" w:ascii="仿宋_GB2312" w:eastAsia="仿宋_GB2312"/>
          <w:color w:val="auto"/>
          <w:sz w:val="32"/>
          <w:szCs w:val="32"/>
        </w:rPr>
        <w:t>。</w:t>
      </w:r>
      <w:r>
        <w:rPr>
          <w:rFonts w:hint="eastAsia" w:ascii="仿宋_GB2312" w:eastAsia="仿宋_GB2312"/>
          <w:color w:val="auto"/>
          <w:sz w:val="32"/>
          <w:szCs w:val="32"/>
          <w:lang w:eastAsia="zh-CN"/>
        </w:rPr>
        <w:t>坚决贯彻落实党的路线方针政策和自治区、州、县委和上级检察机关重大决策部署，严格执行重大事项向党委请示报告制度，把党对检察工作的绝对领导落实到每一项决策部署的贯彻执行中，落实到每一名检察人员的思想行动上，落实到每一个具体案件的办理中。</w:t>
      </w:r>
    </w:p>
    <w:p>
      <w:pPr>
        <w:keepNext w:val="0"/>
        <w:keepLines w:val="0"/>
        <w:pageBreakBefore w:val="0"/>
        <w:kinsoku/>
        <w:wordWrap/>
        <w:topLinePunct w:val="0"/>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eastAsia="zh-CN"/>
        </w:rPr>
        <w:t>二是坚持服务大局，为经济社会高质量发展贡献检察力量。</w:t>
      </w:r>
      <w:r>
        <w:rPr>
          <w:rFonts w:hint="eastAsia" w:ascii="仿宋_GB2312" w:hAnsi="仿宋_GB2312" w:eastAsia="仿宋_GB2312" w:cs="仿宋_GB2312"/>
          <w:color w:val="auto"/>
          <w:sz w:val="32"/>
          <w:szCs w:val="32"/>
          <w:lang w:eastAsia="zh-CN"/>
        </w:rPr>
        <w:t>立足检察职能，落实社会稳定和长治久安总目标、聚焦打好“三大攻坚战”、</w:t>
      </w:r>
      <w:r>
        <w:rPr>
          <w:rFonts w:hint="eastAsia" w:ascii="仿宋_GB2312" w:hAnsi="仿宋_GB2312" w:eastAsia="仿宋_GB2312" w:cs="仿宋_GB2312"/>
          <w:color w:val="auto"/>
          <w:sz w:val="32"/>
          <w:szCs w:val="32"/>
          <w:lang w:val="zh-CN"/>
        </w:rPr>
        <w:t>持续打好反恐维稳组合拳、</w:t>
      </w:r>
      <w:r>
        <w:rPr>
          <w:rFonts w:hint="eastAsia" w:ascii="仿宋_GB2312" w:hAnsi="仿宋_GB2312" w:eastAsia="仿宋_GB2312" w:cs="仿宋_GB2312"/>
          <w:color w:val="auto"/>
          <w:sz w:val="32"/>
          <w:szCs w:val="32"/>
          <w:lang w:eastAsia="zh-CN"/>
        </w:rPr>
        <w:t>服务“一带一路”建设，守护好“青山绿水”等中心工作，找准检察工作切入点和着力点，进一步深化细化服务保障措施。深入推进严打、扫黑除恶专项斗争，坚持深挖彻查、破网打伞、综合治理同步推进，夺取专项斗争全面胜利。抓好平等保护民营企业举措落实落细，依法保护民营企业和企业家合法利益，依法严惩侵害企业合法权益的各类犯罪，最大限度降低司法办案对企业生产经营的负面影响，护航民营经济发展。</w:t>
      </w:r>
    </w:p>
    <w:p>
      <w:pPr>
        <w:pStyle w:val="2"/>
        <w:keepNext w:val="0"/>
        <w:keepLines w:val="0"/>
        <w:pageBreakBefore w:val="0"/>
        <w:kinsoku/>
        <w:wordWrap/>
        <w:topLinePunct w:val="0"/>
        <w:autoSpaceDN/>
        <w:bidi w:val="0"/>
        <w:spacing w:line="560" w:lineRule="exact"/>
        <w:rPr>
          <w:rFonts w:ascii="黑体" w:eastAsia="黑体"/>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b w:val="0"/>
          <w:bCs w:val="0"/>
          <w:i w:val="0"/>
          <w:iCs w:val="0"/>
          <w:color w:val="auto"/>
          <w:sz w:val="32"/>
          <w:szCs w:val="32"/>
          <w:lang w:val="en-US" w:eastAsia="zh-CN"/>
        </w:rPr>
        <w:t xml:space="preserve"> 三是坚持司法为民，推动法律监督工作全面协调发展。</w:t>
      </w:r>
      <w:r>
        <w:rPr>
          <w:rFonts w:hint="eastAsia" w:ascii="仿宋_GB2312" w:hAnsi="仿宋_GB2312" w:eastAsia="仿宋_GB2312" w:cs="仿宋_GB2312"/>
          <w:i w:val="0"/>
          <w:iCs w:val="0"/>
          <w:color w:val="auto"/>
          <w:sz w:val="32"/>
          <w:szCs w:val="32"/>
          <w:lang w:val="zh-CN"/>
        </w:rPr>
        <w:t>以司法办案为中心，坚持在办案中监督，在监督中办案，推动刑事检察、民事检察、行政检察和公益诉讼检察全面平衡充分发展。</w:t>
      </w:r>
      <w:r>
        <w:rPr>
          <w:rFonts w:hint="eastAsia" w:ascii="仿宋_GB2312" w:hAnsi="仿宋_GB2312" w:eastAsia="仿宋_GB2312" w:cs="仿宋_GB2312"/>
          <w:b w:val="0"/>
          <w:bCs w:val="0"/>
          <w:i w:val="0"/>
          <w:iCs w:val="0"/>
          <w:color w:val="auto"/>
          <w:sz w:val="32"/>
          <w:szCs w:val="32"/>
          <w:lang w:val="en-US" w:eastAsia="zh-CN"/>
        </w:rPr>
        <w:t>积极推进认罪认罚从宽制度适用，力争认罪认罚在刑事案件中的适用率达到100%，推动被告人认罪服判，促进提升办案效率。完善检监衔接配合机制，依法查办司法工作人员相关职务犯罪，守护好司法公正最后一道防线。</w:t>
      </w:r>
    </w:p>
    <w:p>
      <w:pPr>
        <w:keepNext w:val="0"/>
        <w:keepLines w:val="0"/>
        <w:pageBreakBefore w:val="0"/>
        <w:kinsoku/>
        <w:wordWrap/>
        <w:topLinePunct w:val="0"/>
        <w:autoSpaceDN/>
        <w:bidi w:val="0"/>
        <w:adjustRightInd w:val="0"/>
        <w:snapToGrid w:val="0"/>
        <w:spacing w:line="560" w:lineRule="exact"/>
        <w:ind w:firstLine="640" w:firstLineChars="200"/>
        <w:rPr>
          <w:rFonts w:hint="eastAsia" w:ascii="仿宋_GB2312" w:eastAsia="仿宋_GB2312"/>
          <w:color w:val="auto"/>
          <w:sz w:val="32"/>
          <w:szCs w:val="32"/>
          <w:lang w:eastAsia="zh-CN"/>
        </w:rPr>
      </w:pPr>
      <w:r>
        <w:rPr>
          <w:rFonts w:hint="eastAsia" w:ascii="楷体_GB2312" w:eastAsia="楷体_GB2312"/>
          <w:b w:val="0"/>
          <w:bCs w:val="0"/>
          <w:color w:val="auto"/>
          <w:sz w:val="32"/>
          <w:szCs w:val="32"/>
          <w:lang w:eastAsia="zh-CN"/>
        </w:rPr>
        <w:t>四是坚持严管就是厚爱，锻造忠诚干净担当的过硬检察队伍。</w:t>
      </w:r>
      <w:r>
        <w:rPr>
          <w:rFonts w:hint="eastAsia" w:ascii="仿宋_GB2312" w:hAnsi="仿宋_GB2312" w:eastAsia="仿宋_GB2312" w:cs="仿宋_GB2312"/>
          <w:b w:val="0"/>
          <w:bCs w:val="0"/>
          <w:color w:val="auto"/>
          <w:sz w:val="32"/>
          <w:szCs w:val="32"/>
          <w:lang w:eastAsia="zh-CN"/>
        </w:rPr>
        <w:t>持续开展“转作风、改作风、严作风”专项整治，坚持问题导向、压实责任，以过硬的决心、过硬的举措整治干部作风顽瘴痼疾，</w:t>
      </w:r>
      <w:r>
        <w:rPr>
          <w:rFonts w:hint="eastAsia" w:ascii="仿宋_GB2312" w:hAnsi="仿宋_GB2312" w:eastAsia="仿宋_GB2312" w:cs="仿宋_GB2312"/>
          <w:b w:val="0"/>
          <w:bCs w:val="0"/>
          <w:color w:val="auto"/>
          <w:sz w:val="32"/>
          <w:szCs w:val="32"/>
          <w:lang w:eastAsia="zh-CN"/>
        </w:rPr>
        <w:t>着力锻造“四个铁一</w:t>
      </w:r>
      <w:r>
        <w:rPr>
          <w:rFonts w:hint="eastAsia" w:ascii="仿宋_GB2312" w:hAnsi="仿宋_GB2312" w:eastAsia="仿宋_GB2312" w:cs="仿宋_GB2312"/>
          <w:b w:val="0"/>
          <w:bCs w:val="0"/>
          <w:color w:val="auto"/>
          <w:sz w:val="32"/>
          <w:szCs w:val="32"/>
          <w:lang w:eastAsia="zh-CN"/>
        </w:rPr>
        <w:t>般”检察</w:t>
      </w:r>
      <w:r>
        <w:rPr>
          <w:rFonts w:hint="eastAsia" w:ascii="仿宋_GB2312" w:hAnsi="仿宋_GB2312" w:eastAsia="仿宋_GB2312" w:cs="仿宋_GB2312"/>
          <w:b w:val="0"/>
          <w:bCs w:val="0"/>
          <w:color w:val="auto"/>
          <w:sz w:val="32"/>
          <w:szCs w:val="32"/>
          <w:lang w:eastAsia="zh-CN"/>
        </w:rPr>
        <w:t>队伍。加强政治学习和业务培训，切实解决干警动力不足不想为、担当不足不敢为、能力不足不会为的问题。强化自身监督。在全面健全内部监督的同时，更加主动地</w:t>
      </w:r>
      <w:r>
        <w:rPr>
          <w:rFonts w:hint="eastAsia" w:ascii="仿宋_GB2312" w:eastAsia="仿宋_GB2312"/>
          <w:color w:val="auto"/>
          <w:sz w:val="32"/>
          <w:szCs w:val="32"/>
          <w:lang w:eastAsia="zh-CN"/>
        </w:rPr>
        <w:t>接受人大及其常委会的监督、政协民主监督和社会各界监督，深化检务公开，及时回应社会关切，让检察权在阳光下运行。</w:t>
      </w:r>
      <w:r>
        <w:rPr>
          <w:rFonts w:hint="eastAsia" w:ascii="仿宋_GB2312" w:hAnsi="仿宋_GB2312" w:eastAsia="仿宋_GB2312" w:cs="仿宋_GB2312"/>
          <w:color w:val="auto"/>
          <w:sz w:val="32"/>
          <w:szCs w:val="32"/>
          <w:lang w:eastAsia="zh-CN"/>
        </w:rPr>
        <w:t>持之以恒正风肃纪，</w:t>
      </w:r>
      <w:r>
        <w:rPr>
          <w:rFonts w:hint="eastAsia" w:ascii="仿宋_GB2312" w:hAnsi="仿宋_GB2312" w:eastAsia="仿宋_GB2312" w:cs="仿宋_GB2312"/>
          <w:color w:val="auto"/>
          <w:sz w:val="32"/>
          <w:szCs w:val="32"/>
          <w:lang w:eastAsia="zh-CN"/>
        </w:rPr>
        <w:t>坚决</w:t>
      </w:r>
      <w:r>
        <w:rPr>
          <w:rFonts w:hint="eastAsia" w:ascii="仿宋_GB2312" w:eastAsia="仿宋_GB2312"/>
          <w:color w:val="auto"/>
          <w:sz w:val="32"/>
          <w:szCs w:val="32"/>
        </w:rPr>
        <w:t>清除</w:t>
      </w:r>
      <w:r>
        <w:rPr>
          <w:rFonts w:hint="eastAsia" w:ascii="仿宋_GB2312" w:eastAsia="仿宋_GB2312"/>
          <w:color w:val="auto"/>
          <w:sz w:val="32"/>
          <w:szCs w:val="32"/>
          <w:lang w:eastAsia="zh-CN"/>
        </w:rPr>
        <w:t>队伍中</w:t>
      </w:r>
      <w:r>
        <w:rPr>
          <w:rFonts w:hint="eastAsia" w:ascii="仿宋_GB2312" w:eastAsia="仿宋_GB2312"/>
          <w:color w:val="auto"/>
          <w:sz w:val="32"/>
          <w:szCs w:val="32"/>
        </w:rPr>
        <w:t>“两面人”，</w:t>
      </w:r>
      <w:r>
        <w:rPr>
          <w:rFonts w:hint="eastAsia" w:ascii="仿宋_GB2312" w:eastAsia="仿宋_GB2312"/>
          <w:color w:val="auto"/>
          <w:sz w:val="32"/>
          <w:szCs w:val="32"/>
          <w:lang w:eastAsia="zh-CN"/>
        </w:rPr>
        <w:t>坚持刀刃向内执纪问责，</w:t>
      </w:r>
      <w:r>
        <w:rPr>
          <w:rFonts w:hint="eastAsia" w:ascii="仿宋_GB2312" w:eastAsia="仿宋_GB2312"/>
          <w:color w:val="auto"/>
          <w:sz w:val="32"/>
          <w:szCs w:val="32"/>
          <w:lang w:eastAsia="zh-CN"/>
        </w:rPr>
        <w:t>在</w:t>
      </w:r>
      <w:r>
        <w:rPr>
          <w:rFonts w:hint="eastAsia" w:ascii="仿宋_GB2312" w:eastAsia="仿宋_GB2312"/>
          <w:color w:val="auto"/>
          <w:sz w:val="32"/>
          <w:szCs w:val="32"/>
        </w:rPr>
        <w:t>惩治自身腐败力度上下狠功夫</w:t>
      </w:r>
      <w:r>
        <w:rPr>
          <w:rFonts w:hint="eastAsia" w:ascii="仿宋_GB2312" w:eastAsia="仿宋_GB2312"/>
          <w:color w:val="auto"/>
          <w:sz w:val="32"/>
          <w:szCs w:val="32"/>
          <w:lang w:eastAsia="zh-CN"/>
        </w:rPr>
        <w:t>，着力打造革命化、正规化、专业化、</w:t>
      </w:r>
      <w:r>
        <w:rPr>
          <w:rFonts w:hint="eastAsia" w:ascii="仿宋_GB2312" w:eastAsia="仿宋_GB2312"/>
          <w:color w:val="auto"/>
          <w:sz w:val="32"/>
          <w:szCs w:val="32"/>
          <w:lang w:eastAsia="zh-CN"/>
        </w:rPr>
        <w:t>职业化的检</w:t>
      </w:r>
      <w:r>
        <w:rPr>
          <w:rFonts w:hint="eastAsia" w:ascii="仿宋_GB2312" w:eastAsia="仿宋_GB2312"/>
          <w:color w:val="auto"/>
          <w:sz w:val="32"/>
          <w:szCs w:val="32"/>
          <w:lang w:eastAsia="zh-CN"/>
        </w:rPr>
        <w:t>察队伍。</w:t>
      </w:r>
    </w:p>
    <w:p>
      <w:pPr>
        <w:keepNext w:val="0"/>
        <w:keepLines w:val="0"/>
        <w:pageBreakBefore w:val="0"/>
        <w:kinsoku/>
        <w:wordWrap/>
        <w:topLinePunct w:val="0"/>
        <w:autoSpaceDN/>
        <w:bidi w:val="0"/>
        <w:adjustRightInd w:val="0"/>
        <w:snapToGrid w:val="0"/>
        <w:spacing w:line="560" w:lineRule="exact"/>
        <w:ind w:firstLine="640" w:firstLineChars="200"/>
        <w:rPr>
          <w:rFonts w:hint="eastAsia" w:ascii="仿宋_GB2312" w:eastAsia="仿宋_GB2312"/>
          <w:i w:val="0"/>
          <w:iCs w:val="0"/>
          <w:color w:val="auto"/>
          <w:sz w:val="32"/>
          <w:szCs w:val="32"/>
          <w:lang w:val="en-US" w:eastAsia="zh-CN"/>
        </w:rPr>
      </w:pPr>
      <w:r>
        <w:rPr>
          <w:rFonts w:hint="eastAsia" w:ascii="仿宋_GB2312" w:eastAsia="仿宋_GB2312"/>
          <w:i w:val="0"/>
          <w:iCs w:val="0"/>
          <w:color w:val="auto"/>
          <w:sz w:val="32"/>
          <w:szCs w:val="32"/>
          <w:lang w:val="en-US" w:eastAsia="zh-CN"/>
        </w:rPr>
        <w:t>各位代表，风雨多经志弥坚，关山初度路犹长。伊宁县人民检察院将高举习近平新时代中国特色社会主义思想伟大旗帜，以高度的政治自觉、法治自觉、检察自觉遵守和执行中国特色社会主义制度，以检察履职能力现代化助推国家治理能力现代化，让更多的法治“红包”惠及人民群众，在实现复兴梦想的伟大征途中留下更加坚实的检察足迹！</w:t>
      </w:r>
    </w:p>
    <w:p>
      <w:pPr>
        <w:pStyle w:val="2"/>
        <w:rPr>
          <w:rFonts w:hint="eastAsia" w:ascii="仿宋_GB2312" w:eastAsia="仿宋_GB2312"/>
          <w:i w:val="0"/>
          <w:iCs w:val="0"/>
          <w:color w:val="auto"/>
          <w:sz w:val="32"/>
          <w:szCs w:val="32"/>
          <w:lang w:val="en-US" w:eastAsia="zh-CN"/>
        </w:rPr>
      </w:pPr>
      <w:r>
        <w:rPr>
          <w:rFonts w:hint="eastAsia"/>
          <w:color w:val="auto"/>
          <w:lang w:val="en-US" w:eastAsia="zh-CN"/>
        </w:rPr>
        <w:drawing>
          <wp:anchor distT="0" distB="0" distL="114300" distR="114300" simplePos="0" relativeHeight="251698176" behindDoc="0" locked="0" layoutInCell="1" allowOverlap="1">
            <wp:simplePos x="0" y="0"/>
            <wp:positionH relativeFrom="column">
              <wp:posOffset>3389630</wp:posOffset>
            </wp:positionH>
            <wp:positionV relativeFrom="paragraph">
              <wp:posOffset>292735</wp:posOffset>
            </wp:positionV>
            <wp:extent cx="1580515" cy="1591310"/>
            <wp:effectExtent l="0" t="0" r="635" b="8890"/>
            <wp:wrapSquare wrapText="bothSides"/>
            <wp:docPr id="11" name="图片 11" descr="微信图片_20200105193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001051937031"/>
                    <pic:cNvPicPr>
                      <a:picLocks noChangeAspect="1"/>
                    </pic:cNvPicPr>
                  </pic:nvPicPr>
                  <pic:blipFill>
                    <a:blip r:embed="rId5"/>
                    <a:stretch>
                      <a:fillRect/>
                    </a:stretch>
                  </pic:blipFill>
                  <pic:spPr>
                    <a:xfrm>
                      <a:off x="0" y="0"/>
                      <a:ext cx="1580515" cy="1591310"/>
                    </a:xfrm>
                    <a:prstGeom prst="rect">
                      <a:avLst/>
                    </a:prstGeom>
                  </pic:spPr>
                </pic:pic>
              </a:graphicData>
            </a:graphic>
          </wp:anchor>
        </w:drawing>
      </w:r>
      <w:r>
        <w:rPr>
          <w:rFonts w:hint="eastAsia"/>
          <w:color w:val="auto"/>
          <w:lang w:val="en-US" w:eastAsia="zh-CN"/>
        </w:rPr>
        <w:drawing>
          <wp:anchor distT="0" distB="0" distL="114300" distR="114300" simplePos="0" relativeHeight="251697152" behindDoc="0" locked="0" layoutInCell="1" allowOverlap="1">
            <wp:simplePos x="0" y="0"/>
            <wp:positionH relativeFrom="column">
              <wp:posOffset>200025</wp:posOffset>
            </wp:positionH>
            <wp:positionV relativeFrom="paragraph">
              <wp:posOffset>185420</wp:posOffset>
            </wp:positionV>
            <wp:extent cx="1684020" cy="1694815"/>
            <wp:effectExtent l="0" t="0" r="11430" b="635"/>
            <wp:wrapSquare wrapText="bothSides"/>
            <wp:docPr id="10" name="图片 10" descr="微信图片_2020010519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00105193703"/>
                    <pic:cNvPicPr>
                      <a:picLocks noChangeAspect="1"/>
                    </pic:cNvPicPr>
                  </pic:nvPicPr>
                  <pic:blipFill>
                    <a:blip r:embed="rId6"/>
                    <a:stretch>
                      <a:fillRect/>
                    </a:stretch>
                  </pic:blipFill>
                  <pic:spPr>
                    <a:xfrm>
                      <a:off x="0" y="0"/>
                      <a:ext cx="1684020" cy="1694815"/>
                    </a:xfrm>
                    <a:prstGeom prst="rect">
                      <a:avLst/>
                    </a:prstGeom>
                  </pic:spPr>
                </pic:pic>
              </a:graphicData>
            </a:graphic>
          </wp:anchor>
        </w:drawing>
      </w:r>
    </w:p>
    <w:p>
      <w:pPr>
        <w:pStyle w:val="3"/>
        <w:rPr>
          <w:rFonts w:hint="eastAsia"/>
          <w:color w:val="auto"/>
          <w:lang w:val="en-US" w:eastAsia="zh-CN"/>
        </w:rPr>
      </w:pPr>
    </w:p>
    <w:p>
      <w:pPr>
        <w:pStyle w:val="4"/>
        <w:spacing w:line="560" w:lineRule="exact"/>
        <w:rPr>
          <w:rFonts w:hint="eastAsia" w:ascii="黑体" w:hAnsi="黑体" w:eastAsia="黑体"/>
          <w:b/>
          <w:bCs/>
          <w:color w:val="auto"/>
          <w:sz w:val="32"/>
          <w:szCs w:val="32"/>
          <w:lang w:eastAsia="zh-CN"/>
        </w:rPr>
      </w:pPr>
    </w:p>
    <w:p>
      <w:pPr>
        <w:pStyle w:val="4"/>
        <w:spacing w:line="560" w:lineRule="exact"/>
        <w:rPr>
          <w:rFonts w:hint="eastAsia" w:ascii="黑体" w:hAnsi="黑体" w:eastAsia="黑体"/>
          <w:b/>
          <w:bCs/>
          <w:color w:val="auto"/>
          <w:sz w:val="32"/>
          <w:szCs w:val="32"/>
          <w:lang w:eastAsia="zh-CN"/>
        </w:rPr>
      </w:pPr>
    </w:p>
    <w:p>
      <w:pPr>
        <w:spacing w:line="560" w:lineRule="exact"/>
        <w:rPr>
          <w:rFonts w:hint="eastAsia" w:ascii="楷体_GB2312" w:hAnsi="楷体_GB2312" w:eastAsia="楷体_GB2312" w:cs="楷体_GB2312"/>
          <w:b/>
          <w:bCs/>
          <w:color w:val="auto"/>
          <w:sz w:val="30"/>
          <w:szCs w:val="30"/>
        </w:rPr>
      </w:pPr>
      <w:r>
        <w:rPr>
          <w:rFonts w:hint="eastAsia" w:ascii="楷体_GB2312" w:hAnsi="楷体_GB2312" w:eastAsia="楷体_GB2312" w:cs="楷体_GB2312"/>
          <w:b/>
          <w:bCs/>
          <w:color w:val="auto"/>
          <w:sz w:val="30"/>
          <w:szCs w:val="30"/>
        </w:rPr>
        <w:t xml:space="preserve">     </w:t>
      </w:r>
    </w:p>
    <w:p>
      <w:pPr>
        <w:pStyle w:val="4"/>
        <w:spacing w:line="560" w:lineRule="exact"/>
        <w:ind w:firstLine="643" w:firstLineChars="200"/>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伊宁县检察微博</w:t>
      </w:r>
      <w:r>
        <w:rPr>
          <w:rFonts w:hint="eastAsia" w:ascii="楷体_GB2312" w:hAnsi="楷体_GB2312" w:eastAsia="楷体_GB2312" w:cs="楷体_GB2312"/>
          <w:b/>
          <w:bCs/>
          <w:color w:val="auto"/>
          <w:sz w:val="32"/>
          <w:szCs w:val="32"/>
          <w:lang w:val="en-US" w:eastAsia="zh-CN"/>
        </w:rPr>
        <w:t xml:space="preserve">                 伊宁县检察微信</w:t>
      </w:r>
    </w:p>
    <w:p>
      <w:pPr>
        <w:pStyle w:val="4"/>
        <w:spacing w:line="560" w:lineRule="exact"/>
        <w:rPr>
          <w:rFonts w:hint="eastAsia" w:ascii="黑体" w:hAnsi="黑体" w:eastAsia="黑体"/>
          <w:b/>
          <w:bCs/>
          <w:color w:val="auto"/>
          <w:sz w:val="32"/>
          <w:szCs w:val="32"/>
          <w:lang w:eastAsia="zh-CN"/>
        </w:rPr>
      </w:pPr>
    </w:p>
    <w:p>
      <w:pPr>
        <w:pStyle w:val="4"/>
        <w:spacing w:line="560" w:lineRule="exact"/>
        <w:rPr>
          <w:rFonts w:hint="default" w:ascii="Times New Roman" w:hAnsi="Times New Roman" w:eastAsia="黑体" w:cs="Times New Roman"/>
          <w:b/>
          <w:bCs/>
          <w:color w:val="auto"/>
          <w:sz w:val="32"/>
          <w:szCs w:val="32"/>
        </w:rPr>
      </w:pPr>
      <w:r>
        <w:rPr>
          <w:rFonts w:hint="eastAsia" w:ascii="黑体" w:hAnsi="黑体" w:eastAsia="黑体"/>
          <w:b/>
          <w:bCs/>
          <w:color w:val="auto"/>
          <w:sz w:val="32"/>
          <w:szCs w:val="32"/>
          <w:lang w:eastAsia="zh-CN"/>
        </w:rPr>
        <w:t>附件</w:t>
      </w:r>
      <w:r>
        <w:rPr>
          <w:rFonts w:hint="eastAsia" w:ascii="黑体" w:hAnsi="黑体" w:eastAsia="黑体"/>
          <w:b/>
          <w:bCs/>
          <w:color w:val="auto"/>
          <w:sz w:val="32"/>
          <w:szCs w:val="32"/>
          <w:lang w:val="en-US" w:eastAsia="zh-CN"/>
        </w:rPr>
        <w:t>1：</w:t>
      </w:r>
      <w:r>
        <w:rPr>
          <w:rFonts w:hint="eastAsia" w:ascii="黑体" w:hAnsi="黑体" w:eastAsia="黑体"/>
          <w:b/>
          <w:bCs/>
          <w:color w:val="auto"/>
          <w:sz w:val="32"/>
          <w:szCs w:val="32"/>
        </w:rPr>
        <w:t>有关数据图表</w:t>
      </w:r>
    </w:p>
    <w:p>
      <w:pPr>
        <w:pStyle w:val="4"/>
        <w:spacing w:line="560" w:lineRule="exact"/>
        <w:rPr>
          <w:rFonts w:hint="default" w:ascii="Times New Roman" w:hAnsi="Times New Roman" w:eastAsia="黑体" w:cs="Times New Roman"/>
          <w:color w:val="auto"/>
        </w:rPr>
      </w:pPr>
    </w:p>
    <w:p>
      <w:pPr>
        <w:pStyle w:val="4"/>
        <w:spacing w:line="560" w:lineRule="exact"/>
        <w:rPr>
          <w:rFonts w:hint="default" w:ascii="Times New Roman" w:hAnsi="Times New Roman" w:eastAsia="黑体" w:cs="Times New Roman"/>
          <w:color w:val="auto"/>
        </w:rPr>
      </w:pPr>
      <w:r>
        <w:rPr>
          <w:rFonts w:hint="eastAsia" w:ascii="仿宋_GB2312" w:hAnsi="仿宋"/>
          <w:b/>
          <w:color w:val="auto"/>
          <w:szCs w:val="32"/>
        </w:rPr>
        <w:drawing>
          <wp:anchor distT="0" distB="0" distL="114300" distR="114300" simplePos="0" relativeHeight="251675648" behindDoc="0" locked="0" layoutInCell="1" allowOverlap="1">
            <wp:simplePos x="0" y="0"/>
            <wp:positionH relativeFrom="column">
              <wp:posOffset>503555</wp:posOffset>
            </wp:positionH>
            <wp:positionV relativeFrom="paragraph">
              <wp:posOffset>286385</wp:posOffset>
            </wp:positionV>
            <wp:extent cx="4630420" cy="2647315"/>
            <wp:effectExtent l="0" t="0" r="17780" b="635"/>
            <wp:wrapSquare wrapText="bothSides"/>
            <wp:docPr id="4"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4"/>
        <w:spacing w:line="560" w:lineRule="exact"/>
        <w:rPr>
          <w:rFonts w:hint="default" w:ascii="Times New Roman" w:hAnsi="Times New Roman" w:eastAsia="黑体" w:cs="Times New Roman"/>
          <w:color w:val="auto"/>
        </w:rPr>
      </w:pPr>
    </w:p>
    <w:p>
      <w:pPr>
        <w:pStyle w:val="4"/>
        <w:spacing w:line="560" w:lineRule="exact"/>
        <w:rPr>
          <w:rFonts w:hint="default" w:ascii="Times New Roman" w:hAnsi="Times New Roman" w:eastAsia="黑体" w:cs="Times New Roman"/>
          <w:color w:val="auto"/>
        </w:rPr>
      </w:pPr>
    </w:p>
    <w:p>
      <w:pPr>
        <w:pStyle w:val="4"/>
        <w:spacing w:line="560" w:lineRule="exact"/>
        <w:rPr>
          <w:rFonts w:hint="default" w:ascii="Times New Roman" w:hAnsi="Times New Roman" w:eastAsia="黑体" w:cs="Times New Roman"/>
          <w:color w:val="auto"/>
        </w:rPr>
      </w:pPr>
    </w:p>
    <w:p>
      <w:pPr>
        <w:pStyle w:val="4"/>
        <w:spacing w:line="560" w:lineRule="exact"/>
        <w:rPr>
          <w:rFonts w:hint="default" w:ascii="Times New Roman" w:hAnsi="Times New Roman" w:eastAsia="黑体" w:cs="Times New Roman"/>
          <w:color w:val="auto"/>
        </w:rPr>
      </w:pPr>
    </w:p>
    <w:p>
      <w:pPr>
        <w:pStyle w:val="4"/>
        <w:spacing w:line="560" w:lineRule="exact"/>
        <w:rPr>
          <w:rFonts w:hint="default" w:ascii="Times New Roman" w:hAnsi="Times New Roman" w:eastAsia="黑体" w:cs="Times New Roman"/>
          <w:color w:val="auto"/>
        </w:rPr>
      </w:pPr>
    </w:p>
    <w:p>
      <w:pPr>
        <w:pStyle w:val="4"/>
        <w:spacing w:line="560" w:lineRule="exact"/>
        <w:rPr>
          <w:rFonts w:hint="default" w:ascii="Times New Roman" w:hAnsi="Times New Roman" w:eastAsia="黑体" w:cs="Times New Roman"/>
          <w:color w:val="auto"/>
        </w:rPr>
      </w:pPr>
    </w:p>
    <w:p>
      <w:pPr>
        <w:rPr>
          <w:rFonts w:hint="default" w:ascii="Times New Roman" w:hAnsi="Times New Roman" w:eastAsia="黑体" w:cs="Times New Roman"/>
          <w:color w:val="auto"/>
        </w:rPr>
      </w:pPr>
    </w:p>
    <w:p>
      <w:pPr>
        <w:pStyle w:val="2"/>
        <w:rPr>
          <w:rFonts w:hint="default"/>
          <w:color w:val="auto"/>
        </w:rPr>
      </w:pPr>
    </w:p>
    <w:p>
      <w:pPr>
        <w:pStyle w:val="4"/>
        <w:spacing w:line="560" w:lineRule="exact"/>
        <w:rPr>
          <w:rFonts w:hint="default" w:ascii="Times New Roman" w:hAnsi="Times New Roman" w:eastAsia="黑体" w:cs="Times New Roman"/>
          <w:color w:val="auto"/>
        </w:rPr>
      </w:pPr>
    </w:p>
    <w:p>
      <w:pPr>
        <w:pStyle w:val="4"/>
        <w:spacing w:line="560" w:lineRule="exact"/>
        <w:rPr>
          <w:rFonts w:hint="default" w:ascii="Times New Roman" w:hAnsi="Times New Roman" w:eastAsia="黑体" w:cs="Times New Roman"/>
          <w:color w:val="auto"/>
        </w:rPr>
      </w:pPr>
      <w:r>
        <w:rPr>
          <w:rFonts w:ascii="仿宋_GB2312" w:hAnsi="仿宋"/>
          <w:b/>
          <w:color w:val="auto"/>
          <w:szCs w:val="32"/>
        </w:rPr>
        <w:drawing>
          <wp:anchor distT="0" distB="0" distL="114300" distR="114300" simplePos="0" relativeHeight="251696128" behindDoc="0" locked="0" layoutInCell="1" allowOverlap="1">
            <wp:simplePos x="0" y="0"/>
            <wp:positionH relativeFrom="column">
              <wp:posOffset>389890</wp:posOffset>
            </wp:positionH>
            <wp:positionV relativeFrom="paragraph">
              <wp:posOffset>209550</wp:posOffset>
            </wp:positionV>
            <wp:extent cx="4763135" cy="2972435"/>
            <wp:effectExtent l="0" t="0" r="18415" b="18415"/>
            <wp:wrapSquare wrapText="bothSides"/>
            <wp:docPr id="5"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4"/>
        <w:spacing w:line="560" w:lineRule="exact"/>
        <w:rPr>
          <w:rFonts w:hint="default" w:ascii="Times New Roman" w:hAnsi="Times New Roman" w:eastAsia="黑体" w:cs="Times New Roman"/>
          <w:color w:val="auto"/>
        </w:rPr>
      </w:pPr>
    </w:p>
    <w:p>
      <w:pPr>
        <w:rPr>
          <w:rFonts w:hint="default" w:ascii="Times New Roman" w:hAnsi="Times New Roman" w:eastAsia="黑体" w:cs="Times New Roman"/>
          <w:color w:val="auto"/>
        </w:rPr>
      </w:pPr>
    </w:p>
    <w:p>
      <w:pPr>
        <w:pStyle w:val="2"/>
        <w:rPr>
          <w:rFonts w:hint="default" w:ascii="Times New Roman" w:hAnsi="Times New Roman" w:eastAsia="黑体" w:cs="Times New Roman"/>
          <w:color w:val="auto"/>
        </w:rPr>
      </w:pPr>
    </w:p>
    <w:p>
      <w:pPr>
        <w:pStyle w:val="4"/>
        <w:spacing w:line="560" w:lineRule="exact"/>
        <w:rPr>
          <w:rFonts w:hint="default" w:ascii="Times New Roman" w:hAnsi="Times New Roman" w:eastAsia="黑体" w:cs="Times New Roman"/>
          <w:color w:val="auto"/>
        </w:rPr>
      </w:pPr>
    </w:p>
    <w:p>
      <w:pPr>
        <w:rPr>
          <w:rFonts w:hint="default" w:ascii="Times New Roman" w:hAnsi="Times New Roman" w:eastAsia="黑体" w:cs="Times New Roman"/>
          <w:color w:val="auto"/>
        </w:rPr>
      </w:pPr>
    </w:p>
    <w:p>
      <w:pPr>
        <w:pStyle w:val="3"/>
        <w:rPr>
          <w:rFonts w:hint="default" w:ascii="Times New Roman" w:hAnsi="Times New Roman" w:eastAsia="黑体" w:cs="Times New Roman"/>
          <w:color w:val="auto"/>
        </w:rPr>
      </w:pPr>
    </w:p>
    <w:p>
      <w:pPr>
        <w:pStyle w:val="3"/>
        <w:rPr>
          <w:rFonts w:hint="default" w:ascii="Times New Roman" w:hAnsi="Times New Roman" w:eastAsia="黑体" w:cs="Times New Roman"/>
          <w:color w:val="auto"/>
        </w:rPr>
      </w:pPr>
    </w:p>
    <w:p>
      <w:pPr>
        <w:pStyle w:val="3"/>
        <w:rPr>
          <w:rFonts w:hint="default" w:ascii="Times New Roman" w:hAnsi="Times New Roman" w:eastAsia="黑体" w:cs="Times New Roman"/>
          <w:color w:val="auto"/>
        </w:rPr>
      </w:pPr>
    </w:p>
    <w:p>
      <w:pPr>
        <w:pStyle w:val="3"/>
        <w:rPr>
          <w:rFonts w:hint="default" w:ascii="Times New Roman" w:hAnsi="Times New Roman" w:eastAsia="黑体" w:cs="Times New Roman"/>
          <w:color w:val="auto"/>
        </w:rPr>
      </w:pPr>
    </w:p>
    <w:p>
      <w:pPr>
        <w:pStyle w:val="3"/>
        <w:rPr>
          <w:rFonts w:hint="default" w:ascii="Times New Roman" w:hAnsi="Times New Roman" w:eastAsia="黑体" w:cs="Times New Roman"/>
          <w:color w:val="auto"/>
        </w:rPr>
      </w:pPr>
    </w:p>
    <w:p>
      <w:pPr>
        <w:pStyle w:val="3"/>
        <w:rPr>
          <w:rFonts w:hint="default" w:ascii="Times New Roman" w:hAnsi="Times New Roman" w:eastAsia="黑体" w:cs="Times New Roman"/>
          <w:color w:val="auto"/>
        </w:rPr>
      </w:pPr>
    </w:p>
    <w:p>
      <w:pPr>
        <w:pStyle w:val="3"/>
        <w:rPr>
          <w:rFonts w:hint="default" w:ascii="Times New Roman" w:hAnsi="Times New Roman" w:eastAsia="黑体" w:cs="Times New Roman"/>
          <w:color w:val="auto"/>
        </w:rPr>
      </w:pPr>
    </w:p>
    <w:p>
      <w:pPr>
        <w:pStyle w:val="3"/>
        <w:rPr>
          <w:rFonts w:hint="default" w:ascii="Times New Roman" w:hAnsi="Times New Roman" w:eastAsia="黑体" w:cs="Times New Roman"/>
          <w:color w:val="auto"/>
        </w:rPr>
      </w:pPr>
    </w:p>
    <w:p>
      <w:pPr>
        <w:pStyle w:val="3"/>
        <w:rPr>
          <w:rFonts w:hint="default" w:ascii="Times New Roman" w:hAnsi="Times New Roman" w:eastAsia="黑体" w:cs="Times New Roman"/>
          <w:color w:val="auto"/>
        </w:rPr>
      </w:pPr>
      <w:r>
        <w:rPr>
          <w:rFonts w:ascii="仿宋_GB2312" w:hAnsi="仿宋"/>
          <w:b/>
          <w:color w:val="auto"/>
          <w:szCs w:val="32"/>
        </w:rPr>
        <w:drawing>
          <wp:inline distT="0" distB="0" distL="0" distR="0">
            <wp:extent cx="5838825" cy="3247390"/>
            <wp:effectExtent l="0" t="0" r="9525" b="1016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3"/>
        <w:rPr>
          <w:rFonts w:hint="default" w:ascii="Times New Roman" w:hAnsi="Times New Roman" w:eastAsia="黑体" w:cs="Times New Roman"/>
          <w:color w:val="auto"/>
        </w:rPr>
      </w:pPr>
    </w:p>
    <w:tbl>
      <w:tblPr>
        <w:tblStyle w:val="9"/>
        <w:tblpPr w:leftFromText="180" w:rightFromText="180" w:vertAnchor="text" w:horzAnchor="page" w:tblpX="1736" w:tblpY="231"/>
        <w:tblOverlap w:val="never"/>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6150"/>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8971" w:type="dxa"/>
            <w:gridSpan w:val="3"/>
            <w:tcBorders>
              <w:top w:val="nil"/>
              <w:left w:val="nil"/>
              <w:bottom w:val="single" w:color="auto" w:sz="4" w:space="0"/>
              <w:right w:val="nil"/>
            </w:tcBorders>
          </w:tcPr>
          <w:p>
            <w:pPr>
              <w:widowControl/>
              <w:spacing w:before="100" w:beforeAutospacing="1" w:after="100" w:afterAutospacing="1" w:line="480" w:lineRule="auto"/>
              <w:jc w:val="center"/>
              <w:rPr>
                <w:rFonts w:asciiTheme="minorHAnsi" w:hAnsiTheme="minorEastAsia" w:eastAsiaTheme="minorEastAsia"/>
                <w:b/>
                <w:color w:val="auto"/>
                <w:sz w:val="36"/>
                <w:szCs w:val="36"/>
              </w:rPr>
            </w:pPr>
            <w:r>
              <w:rPr>
                <w:rFonts w:hint="eastAsia" w:ascii="黑体" w:hAnsi="黑体" w:eastAsia="黑体" w:cs="黑体"/>
                <w:b/>
                <w:color w:val="auto"/>
                <w:sz w:val="32"/>
                <w:szCs w:val="32"/>
              </w:rPr>
              <w:t>图表</w:t>
            </w:r>
            <w:r>
              <w:rPr>
                <w:rFonts w:hint="eastAsia" w:ascii="黑体" w:hAnsi="黑体" w:eastAsia="黑体" w:cs="黑体"/>
                <w:b/>
                <w:color w:val="auto"/>
                <w:sz w:val="32"/>
                <w:szCs w:val="32"/>
                <w:lang w:val="en-US" w:eastAsia="zh-CN"/>
              </w:rPr>
              <w:t>4</w:t>
            </w:r>
            <w:r>
              <w:rPr>
                <w:rFonts w:hint="eastAsia" w:ascii="黑体" w:hAnsi="黑体" w:eastAsia="黑体" w:cs="黑体"/>
                <w:b/>
                <w:color w:val="auto"/>
                <w:sz w:val="32"/>
                <w:szCs w:val="32"/>
              </w:rPr>
              <w:t xml:space="preserve"> 公益诉讼情况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119" w:type="dxa"/>
            <w:tcBorders>
              <w:top w:val="single" w:color="auto" w:sz="4" w:space="0"/>
              <w:bottom w:val="single" w:color="auto" w:sz="6" w:space="0"/>
              <w:right w:val="single" w:color="auto" w:sz="6" w:space="0"/>
            </w:tcBorders>
            <w:vAlign w:val="center"/>
          </w:tcPr>
          <w:p>
            <w:pPr>
              <w:widowControl/>
              <w:spacing w:before="100" w:beforeAutospacing="1" w:after="100" w:afterAutospacing="1" w:line="480" w:lineRule="auto"/>
              <w:rPr>
                <w:rFonts w:ascii="仿宋_GB2312" w:hAnsi="仿宋"/>
                <w:b/>
                <w:color w:val="auto"/>
                <w:szCs w:val="32"/>
              </w:rPr>
            </w:pPr>
            <w:r>
              <w:rPr>
                <w:rFonts w:hint="eastAsia" w:ascii="仿宋_GB2312" w:hAnsi="仿宋"/>
                <w:b/>
                <w:color w:val="auto"/>
                <w:szCs w:val="32"/>
              </w:rPr>
              <w:drawing>
                <wp:anchor distT="0" distB="0" distL="114300" distR="114300" simplePos="0" relativeHeight="251983872" behindDoc="1" locked="0" layoutInCell="1" allowOverlap="1">
                  <wp:simplePos x="0" y="0"/>
                  <wp:positionH relativeFrom="column">
                    <wp:posOffset>8890</wp:posOffset>
                  </wp:positionH>
                  <wp:positionV relativeFrom="paragraph">
                    <wp:posOffset>1905</wp:posOffset>
                  </wp:positionV>
                  <wp:extent cx="550545" cy="466725"/>
                  <wp:effectExtent l="0" t="0" r="1905" b="9525"/>
                  <wp:wrapNone/>
                  <wp:docPr id="13" name="图片 5" descr="C:\接收文件\t016688f08e824f8e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C:\接收文件\t016688f08e824f8e68.jpg"/>
                          <pic:cNvPicPr>
                            <a:picLocks noChangeAspect="1" noChangeArrowheads="1"/>
                          </pic:cNvPicPr>
                        </pic:nvPicPr>
                        <pic:blipFill>
                          <a:blip r:embed="rId10" cstate="print"/>
                          <a:srcRect/>
                          <a:stretch>
                            <a:fillRect/>
                          </a:stretch>
                        </pic:blipFill>
                        <pic:spPr>
                          <a:xfrm>
                            <a:off x="0" y="0"/>
                            <a:ext cx="550545" cy="466725"/>
                          </a:xfrm>
                          <a:prstGeom prst="rect">
                            <a:avLst/>
                          </a:prstGeom>
                          <a:noFill/>
                          <a:ln w="9525">
                            <a:noFill/>
                            <a:miter lim="800000"/>
                            <a:headEnd/>
                            <a:tailEnd/>
                          </a:ln>
                        </pic:spPr>
                      </pic:pic>
                    </a:graphicData>
                  </a:graphic>
                </wp:anchor>
              </w:drawing>
            </w:r>
          </w:p>
        </w:tc>
        <w:tc>
          <w:tcPr>
            <w:tcW w:w="6150" w:type="dxa"/>
            <w:tcBorders>
              <w:top w:val="single" w:color="auto" w:sz="4" w:space="0"/>
              <w:left w:val="single" w:color="auto" w:sz="6" w:space="0"/>
              <w:bottom w:val="single" w:color="auto" w:sz="6" w:space="0"/>
              <w:right w:val="single" w:color="auto" w:sz="6" w:space="0"/>
            </w:tcBorders>
            <w:vAlign w:val="center"/>
          </w:tcPr>
          <w:p>
            <w:pPr>
              <w:widowControl/>
              <w:spacing w:before="100" w:beforeAutospacing="1" w:after="100" w:afterAutospacing="1" w:line="48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办理食品安全领域</w:t>
            </w:r>
          </w:p>
        </w:tc>
        <w:tc>
          <w:tcPr>
            <w:tcW w:w="1702" w:type="dxa"/>
            <w:tcBorders>
              <w:top w:val="single" w:color="auto" w:sz="4" w:space="0"/>
              <w:left w:val="single" w:color="auto" w:sz="6" w:space="0"/>
              <w:bottom w:val="single" w:color="auto" w:sz="6" w:space="0"/>
            </w:tcBorders>
            <w:vAlign w:val="center"/>
          </w:tcPr>
          <w:p>
            <w:pPr>
              <w:widowControl/>
              <w:spacing w:before="100" w:beforeAutospacing="1" w:after="100" w:afterAutospacing="1" w:line="480" w:lineRule="auto"/>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1119" w:type="dxa"/>
            <w:tcBorders>
              <w:top w:val="single" w:color="auto" w:sz="6" w:space="0"/>
              <w:bottom w:val="single" w:color="auto" w:sz="6" w:space="0"/>
              <w:right w:val="single" w:color="auto" w:sz="6" w:space="0"/>
            </w:tcBorders>
            <w:vAlign w:val="center"/>
          </w:tcPr>
          <w:p>
            <w:pPr>
              <w:widowControl/>
              <w:spacing w:before="100" w:beforeAutospacing="1" w:after="100" w:afterAutospacing="1" w:line="480" w:lineRule="auto"/>
              <w:rPr>
                <w:rFonts w:ascii="仿宋_GB2312" w:hAnsi="仿宋"/>
                <w:b/>
                <w:color w:val="auto"/>
                <w:szCs w:val="32"/>
              </w:rPr>
            </w:pPr>
            <w:r>
              <w:rPr>
                <w:rFonts w:hint="eastAsia" w:ascii="仿宋_GB2312" w:hAnsi="仿宋"/>
                <w:b/>
                <w:color w:val="auto"/>
                <w:szCs w:val="32"/>
              </w:rPr>
              <w:drawing>
                <wp:anchor distT="0" distB="0" distL="114300" distR="114300" simplePos="0" relativeHeight="251980800" behindDoc="1" locked="0" layoutInCell="1" allowOverlap="1">
                  <wp:simplePos x="0" y="0"/>
                  <wp:positionH relativeFrom="column">
                    <wp:posOffset>8890</wp:posOffset>
                  </wp:positionH>
                  <wp:positionV relativeFrom="paragraph">
                    <wp:posOffset>40640</wp:posOffset>
                  </wp:positionV>
                  <wp:extent cx="561975" cy="400050"/>
                  <wp:effectExtent l="0" t="0" r="9525" b="0"/>
                  <wp:wrapNone/>
                  <wp:docPr id="51" name="图片 51" descr="C:\接收文件\截图20190124014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接收文件\截图20190124014827.png"/>
                          <pic:cNvPicPr>
                            <a:picLocks noChangeAspect="1" noChangeArrowheads="1"/>
                          </pic:cNvPicPr>
                        </pic:nvPicPr>
                        <pic:blipFill>
                          <a:blip r:embed="rId11" cstate="print"/>
                          <a:stretch>
                            <a:fillRect/>
                          </a:stretch>
                        </pic:blipFill>
                        <pic:spPr>
                          <a:xfrm>
                            <a:off x="0" y="0"/>
                            <a:ext cx="561975" cy="400050"/>
                          </a:xfrm>
                          <a:prstGeom prst="rect">
                            <a:avLst/>
                          </a:prstGeom>
                          <a:noFill/>
                          <a:ln>
                            <a:noFill/>
                          </a:ln>
                        </pic:spPr>
                      </pic:pic>
                    </a:graphicData>
                  </a:graphic>
                </wp:anchor>
              </w:drawing>
            </w:r>
            <w:r>
              <w:rPr>
                <w:rFonts w:hint="eastAsia" w:ascii="仿宋_GB2312" w:hAnsi="仿宋"/>
                <w:color w:val="auto"/>
                <w:sz w:val="28"/>
                <w:szCs w:val="28"/>
              </w:rPr>
              <w:drawing>
                <wp:anchor distT="0" distB="0" distL="114300" distR="114300" simplePos="0" relativeHeight="251981824" behindDoc="1" locked="0" layoutInCell="1" allowOverlap="1">
                  <wp:simplePos x="0" y="0"/>
                  <wp:positionH relativeFrom="column">
                    <wp:posOffset>66040</wp:posOffset>
                  </wp:positionH>
                  <wp:positionV relativeFrom="paragraph">
                    <wp:posOffset>574040</wp:posOffset>
                  </wp:positionV>
                  <wp:extent cx="548005" cy="495300"/>
                  <wp:effectExtent l="0" t="0" r="4445" b="0"/>
                  <wp:wrapNone/>
                  <wp:docPr id="9" name="图片 7" descr="C:\接收文件\截图2019012401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C:\接收文件\截图20190124015301.png"/>
                          <pic:cNvPicPr>
                            <a:picLocks noChangeAspect="1" noChangeArrowheads="1"/>
                          </pic:cNvPicPr>
                        </pic:nvPicPr>
                        <pic:blipFill>
                          <a:blip r:embed="rId12" cstate="print"/>
                          <a:srcRect/>
                          <a:stretch>
                            <a:fillRect/>
                          </a:stretch>
                        </pic:blipFill>
                        <pic:spPr>
                          <a:xfrm>
                            <a:off x="0" y="0"/>
                            <a:ext cx="548005" cy="495300"/>
                          </a:xfrm>
                          <a:prstGeom prst="rect">
                            <a:avLst/>
                          </a:prstGeom>
                          <a:noFill/>
                          <a:ln w="9525">
                            <a:noFill/>
                            <a:miter lim="800000"/>
                            <a:headEnd/>
                            <a:tailEnd/>
                          </a:ln>
                        </pic:spPr>
                      </pic:pic>
                    </a:graphicData>
                  </a:graphic>
                </wp:anchor>
              </w:drawing>
            </w:r>
          </w:p>
        </w:tc>
        <w:tc>
          <w:tcPr>
            <w:tcW w:w="6150"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80" w:lineRule="auto"/>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资源保护领域</w:t>
            </w:r>
          </w:p>
        </w:tc>
        <w:tc>
          <w:tcPr>
            <w:tcW w:w="1702" w:type="dxa"/>
            <w:tcBorders>
              <w:top w:val="single" w:color="auto" w:sz="6" w:space="0"/>
              <w:left w:val="single" w:color="auto" w:sz="6" w:space="0"/>
              <w:bottom w:val="single" w:color="auto" w:sz="6" w:space="0"/>
            </w:tcBorders>
            <w:vAlign w:val="center"/>
          </w:tcPr>
          <w:p>
            <w:pPr>
              <w:widowControl/>
              <w:spacing w:before="100" w:beforeAutospacing="1" w:after="100" w:afterAutospacing="1" w:line="480" w:lineRule="auto"/>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119" w:type="dxa"/>
            <w:tcBorders>
              <w:top w:val="single" w:color="auto" w:sz="6" w:space="0"/>
              <w:bottom w:val="single" w:color="auto" w:sz="6" w:space="0"/>
              <w:right w:val="single" w:color="auto" w:sz="6" w:space="0"/>
            </w:tcBorders>
            <w:vAlign w:val="center"/>
          </w:tcPr>
          <w:p>
            <w:pPr>
              <w:widowControl/>
              <w:spacing w:before="100" w:beforeAutospacing="1" w:after="100" w:afterAutospacing="1" w:line="480" w:lineRule="auto"/>
              <w:rPr>
                <w:rFonts w:hint="eastAsia" w:ascii="仿宋_GB2312" w:hAnsi="仿宋" w:eastAsia="宋体"/>
                <w:color w:val="auto"/>
                <w:sz w:val="28"/>
                <w:szCs w:val="28"/>
                <w:lang w:eastAsia="zh-CN"/>
              </w:rPr>
            </w:pPr>
          </w:p>
        </w:tc>
        <w:tc>
          <w:tcPr>
            <w:tcW w:w="6150"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480" w:lineRule="auto"/>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守护伊犁河专项行动</w:t>
            </w:r>
          </w:p>
        </w:tc>
        <w:tc>
          <w:tcPr>
            <w:tcW w:w="1702" w:type="dxa"/>
            <w:tcBorders>
              <w:top w:val="single" w:color="auto" w:sz="6" w:space="0"/>
              <w:left w:val="single" w:color="auto" w:sz="6" w:space="0"/>
              <w:bottom w:val="single" w:color="auto" w:sz="6" w:space="0"/>
            </w:tcBorders>
            <w:vAlign w:val="center"/>
          </w:tcPr>
          <w:p>
            <w:pPr>
              <w:widowControl/>
              <w:spacing w:before="100" w:beforeAutospacing="1" w:after="100" w:afterAutospacing="1" w:line="480" w:lineRule="auto"/>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119" w:type="dxa"/>
            <w:tcBorders>
              <w:top w:val="single" w:color="auto" w:sz="6" w:space="0"/>
              <w:right w:val="single" w:color="auto" w:sz="6" w:space="0"/>
            </w:tcBorders>
            <w:vAlign w:val="center"/>
          </w:tcPr>
          <w:p>
            <w:pPr>
              <w:widowControl/>
              <w:spacing w:before="100" w:beforeAutospacing="1" w:after="100" w:afterAutospacing="1" w:line="480" w:lineRule="auto"/>
              <w:rPr>
                <w:rFonts w:hint="eastAsia" w:ascii="仿宋_GB2312" w:hAnsi="仿宋" w:eastAsia="宋体"/>
                <w:b/>
                <w:color w:val="auto"/>
                <w:szCs w:val="32"/>
                <w:lang w:eastAsia="zh-CN"/>
              </w:rPr>
            </w:pPr>
            <w:r>
              <w:rPr>
                <w:rFonts w:hint="eastAsia" w:ascii="仿宋_GB2312" w:hAnsi="仿宋" w:eastAsia="宋体"/>
                <w:color w:val="auto"/>
                <w:sz w:val="28"/>
                <w:szCs w:val="28"/>
                <w:lang w:eastAsia="zh-CN"/>
              </w:rPr>
              <w:drawing>
                <wp:inline distT="0" distB="0" distL="114300" distR="114300">
                  <wp:extent cx="572135" cy="323215"/>
                  <wp:effectExtent l="0" t="0" r="18415" b="635"/>
                  <wp:docPr id="2" name="图片 2" descr="废水排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废水排放"/>
                          <pic:cNvPicPr>
                            <a:picLocks noChangeAspect="1"/>
                          </pic:cNvPicPr>
                        </pic:nvPicPr>
                        <pic:blipFill>
                          <a:blip r:embed="rId13"/>
                          <a:stretch>
                            <a:fillRect/>
                          </a:stretch>
                        </pic:blipFill>
                        <pic:spPr>
                          <a:xfrm>
                            <a:off x="0" y="0"/>
                            <a:ext cx="572135" cy="323215"/>
                          </a:xfrm>
                          <a:prstGeom prst="rect">
                            <a:avLst/>
                          </a:prstGeom>
                        </pic:spPr>
                      </pic:pic>
                    </a:graphicData>
                  </a:graphic>
                </wp:inline>
              </w:drawing>
            </w:r>
          </w:p>
        </w:tc>
        <w:tc>
          <w:tcPr>
            <w:tcW w:w="6150" w:type="dxa"/>
            <w:tcBorders>
              <w:top w:val="single" w:color="auto" w:sz="6" w:space="0"/>
              <w:left w:val="single" w:color="auto" w:sz="6" w:space="0"/>
              <w:right w:val="single" w:color="auto" w:sz="6" w:space="0"/>
            </w:tcBorders>
            <w:vAlign w:val="center"/>
          </w:tcPr>
          <w:p>
            <w:pPr>
              <w:widowControl/>
              <w:spacing w:before="100" w:beforeAutospacing="1" w:after="100" w:afterAutospacing="1" w:line="480" w:lineRule="auto"/>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口腔诊所医疗废水排放</w:t>
            </w:r>
          </w:p>
        </w:tc>
        <w:tc>
          <w:tcPr>
            <w:tcW w:w="1702" w:type="dxa"/>
            <w:tcBorders>
              <w:top w:val="single" w:color="auto" w:sz="6" w:space="0"/>
              <w:left w:val="single" w:color="auto" w:sz="6" w:space="0"/>
            </w:tcBorders>
            <w:vAlign w:val="center"/>
          </w:tcPr>
          <w:p>
            <w:pPr>
              <w:widowControl/>
              <w:spacing w:before="100" w:beforeAutospacing="1" w:after="100" w:afterAutospacing="1" w:line="480" w:lineRule="auto"/>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19" w:type="dxa"/>
            <w:vAlign w:val="center"/>
          </w:tcPr>
          <w:p>
            <w:pPr>
              <w:widowControl/>
              <w:spacing w:before="100" w:beforeAutospacing="1" w:after="100" w:afterAutospacing="1" w:line="480" w:lineRule="auto"/>
              <w:rPr>
                <w:rFonts w:hint="eastAsia" w:ascii="仿宋_GB2312" w:hAnsi="仿宋"/>
                <w:b/>
                <w:color w:val="auto"/>
                <w:szCs w:val="32"/>
              </w:rPr>
            </w:pPr>
            <w:r>
              <w:rPr>
                <w:rFonts w:hint="eastAsia" w:ascii="仿宋_GB2312" w:hAnsi="仿宋" w:eastAsia="宋体"/>
                <w:b/>
                <w:color w:val="auto"/>
                <w:szCs w:val="32"/>
                <w:lang w:eastAsia="zh-CN"/>
              </w:rPr>
              <w:drawing>
                <wp:inline distT="0" distB="0" distL="114300" distR="114300">
                  <wp:extent cx="571500" cy="340360"/>
                  <wp:effectExtent l="0" t="0" r="0" b="2540"/>
                  <wp:docPr id="3" name="图片 3" descr="国有土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有土地"/>
                          <pic:cNvPicPr>
                            <a:picLocks noChangeAspect="1"/>
                          </pic:cNvPicPr>
                        </pic:nvPicPr>
                        <pic:blipFill>
                          <a:blip r:embed="rId14"/>
                          <a:stretch>
                            <a:fillRect/>
                          </a:stretch>
                        </pic:blipFill>
                        <pic:spPr>
                          <a:xfrm>
                            <a:off x="0" y="0"/>
                            <a:ext cx="571500" cy="340360"/>
                          </a:xfrm>
                          <a:prstGeom prst="rect">
                            <a:avLst/>
                          </a:prstGeom>
                        </pic:spPr>
                      </pic:pic>
                    </a:graphicData>
                  </a:graphic>
                </wp:inline>
              </w:drawing>
            </w:r>
          </w:p>
        </w:tc>
        <w:tc>
          <w:tcPr>
            <w:tcW w:w="6150" w:type="dxa"/>
            <w:vAlign w:val="center"/>
          </w:tcPr>
          <w:p>
            <w:pPr>
              <w:pStyle w:val="3"/>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国有土地使用权出让领域</w:t>
            </w:r>
          </w:p>
        </w:tc>
        <w:tc>
          <w:tcPr>
            <w:tcW w:w="1702" w:type="dxa"/>
            <w:vAlign w:val="center"/>
          </w:tcPr>
          <w:p>
            <w:pPr>
              <w:widowControl/>
              <w:spacing w:before="100" w:beforeAutospacing="1" w:after="100" w:afterAutospacing="1" w:line="480" w:lineRule="auto"/>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3件</w:t>
            </w:r>
          </w:p>
        </w:tc>
      </w:tr>
    </w:tbl>
    <w:p>
      <w:pPr>
        <w:pStyle w:val="3"/>
        <w:rPr>
          <w:rFonts w:hint="default" w:ascii="Times New Roman" w:hAnsi="Times New Roman" w:eastAsia="黑体" w:cs="Times New Roman"/>
          <w:color w:val="auto"/>
        </w:rPr>
      </w:pPr>
    </w:p>
    <w:p>
      <w:pPr>
        <w:pStyle w:val="4"/>
        <w:spacing w:line="560" w:lineRule="exact"/>
        <w:rPr>
          <w:rFonts w:hint="eastAsia" w:ascii="黑体" w:hAnsi="黑体" w:eastAsia="黑体" w:cs="黑体"/>
          <w:color w:val="auto"/>
          <w:sz w:val="32"/>
          <w:szCs w:val="32"/>
          <w:lang w:eastAsia="zh-CN"/>
        </w:rPr>
      </w:pPr>
    </w:p>
    <w:p>
      <w:pPr>
        <w:rPr>
          <w:rFonts w:hint="eastAsia"/>
          <w:color w:val="auto"/>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eastAsia="zh-CN"/>
        </w:rPr>
        <w:t>附件</w:t>
      </w:r>
      <w:r>
        <w:rPr>
          <w:rFonts w:hint="eastAsia" w:ascii="黑体" w:hAnsi="黑体" w:eastAsia="黑体" w:cs="黑体"/>
          <w:b/>
          <w:bCs/>
          <w:color w:val="auto"/>
          <w:sz w:val="32"/>
          <w:szCs w:val="32"/>
          <w:lang w:val="en-US" w:eastAsia="zh-CN"/>
        </w:rPr>
        <w:t>2：</w:t>
      </w:r>
      <w:r>
        <w:rPr>
          <w:rFonts w:hint="eastAsia" w:ascii="黑体" w:hAnsi="黑体" w:eastAsia="黑体" w:cs="黑体"/>
          <w:b/>
          <w:bCs/>
          <w:color w:val="auto"/>
          <w:sz w:val="32"/>
          <w:szCs w:val="32"/>
        </w:rPr>
        <w:t>法律术语及相关词语释义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Arial"/>
          <w:b/>
          <w:bCs/>
          <w:color w:val="auto"/>
          <w:sz w:val="32"/>
          <w:szCs w:val="32"/>
        </w:rPr>
      </w:pP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rPr>
        <w:t>、认罪认罚从宽：</w:t>
      </w:r>
      <w:r>
        <w:rPr>
          <w:rFonts w:hint="eastAsia" w:ascii="仿宋_GB2312" w:hAnsi="Calibri" w:eastAsia="仿宋_GB2312" w:cs="Arial"/>
          <w:bCs/>
          <w:color w:val="auto"/>
          <w:sz w:val="32"/>
          <w:szCs w:val="32"/>
        </w:rPr>
        <w:t>是指犯罪嫌疑人、被告人自愿如实供述自己的犯罪，对于指控犯罪事实没有异议，同意检察机关的量刑建议并签署具结书的案件，可以从宽处理。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Calibri" w:hAnsi="Calibri" w:eastAsia="仿宋_GB2312" w:cs="Arial"/>
          <w:color w:val="auto"/>
          <w:kern w:val="0"/>
          <w:sz w:val="32"/>
          <w:szCs w:val="32"/>
        </w:rPr>
      </w:pPr>
      <w:r>
        <w:rPr>
          <w:rFonts w:hint="eastAsia" w:ascii="楷体_GB2312" w:hAnsi="楷体_GB2312" w:eastAsia="楷体_GB2312" w:cs="楷体_GB2312"/>
          <w:b/>
          <w:bCs/>
          <w:color w:val="auto"/>
          <w:sz w:val="32"/>
          <w:szCs w:val="32"/>
          <w:lang w:val="en-US" w:eastAsia="zh-CN"/>
        </w:rPr>
        <w:t>2</w:t>
      </w:r>
      <w:r>
        <w:rPr>
          <w:rFonts w:hint="eastAsia" w:ascii="楷体_GB2312" w:hAnsi="楷体_GB2312" w:eastAsia="楷体_GB2312" w:cs="楷体_GB2312"/>
          <w:b/>
          <w:bCs/>
          <w:color w:val="auto"/>
          <w:sz w:val="32"/>
          <w:szCs w:val="32"/>
        </w:rPr>
        <w:t>、公益诉讼：</w:t>
      </w:r>
      <w:r>
        <w:rPr>
          <w:rFonts w:ascii="Calibri" w:hAnsi="Calibri" w:eastAsia="仿宋_GB2312" w:cs="Arial"/>
          <w:color w:val="auto"/>
          <w:kern w:val="0"/>
          <w:sz w:val="32"/>
          <w:szCs w:val="32"/>
        </w:rPr>
        <w:t>分为民事公益诉讼和行政公益诉讼。民事公益诉讼是指检察机关发现破坏生态环境和资源、食品药品安全领域侵害从多消费者合法权益等损害社会公共利益的行为时，可向人民法院提起民事公益诉讼。行政公益诉讼是指检察机关发现生态环境和资源保护、食品药品安全、国有资产保护、国有土地使用权出让等领域监督管理职责的行政机关违法行使职权或者不作为，致使国家利益或社会公共利益受到侵害的，应当向人民法院提起行政公益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楷体_GB2312" w:hAnsi="楷体_GB2312" w:eastAsia="楷体_GB2312" w:cs="楷体_GB2312"/>
          <w:b/>
          <w:bCs/>
          <w:color w:val="auto"/>
          <w:sz w:val="32"/>
          <w:szCs w:val="32"/>
          <w:lang w:val="en-US" w:eastAsia="zh-CN"/>
        </w:rPr>
        <w:t>3.</w:t>
      </w:r>
      <w:r>
        <w:rPr>
          <w:rFonts w:hint="eastAsia" w:ascii="楷体_GB2312" w:hAnsi="楷体_GB2312" w:eastAsia="楷体_GB2312" w:cs="楷体_GB2312"/>
          <w:b/>
          <w:bCs/>
          <w:color w:val="auto"/>
          <w:sz w:val="32"/>
          <w:szCs w:val="32"/>
        </w:rPr>
        <w:t>羁押必要性审查：</w:t>
      </w:r>
      <w:r>
        <w:rPr>
          <w:rFonts w:hint="eastAsia" w:ascii="仿宋_GB2312" w:eastAsia="仿宋_GB2312"/>
          <w:color w:val="auto"/>
          <w:sz w:val="32"/>
          <w:szCs w:val="32"/>
        </w:rPr>
        <w:t>是指人民检察院依据刑事诉讼法规定，对被逮捕的犯罪嫌疑人、被告人有无继续羁押的必要性进行审查，对不需要继续羁押的，建议办案机关予以释放或者变更强制措施的监督活动。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楷体_GB2312" w:hAnsi="楷体_GB2312" w:eastAsia="楷体_GB2312" w:cs="楷体_GB2312"/>
          <w:b/>
          <w:bCs/>
          <w:i w:val="0"/>
          <w:iCs w:val="0"/>
          <w:color w:val="auto"/>
          <w:sz w:val="32"/>
          <w:szCs w:val="32"/>
          <w:lang w:val="en-US" w:eastAsia="zh-CN"/>
        </w:rPr>
        <w:t>4.司法救助：</w:t>
      </w:r>
      <w:r>
        <w:rPr>
          <w:rFonts w:hint="eastAsia" w:ascii="仿宋_GB2312" w:hAnsi="仿宋_GB2312" w:eastAsia="仿宋_GB2312" w:cs="仿宋_GB2312"/>
          <w:b w:val="0"/>
          <w:bCs w:val="0"/>
          <w:i w:val="0"/>
          <w:iCs w:val="0"/>
          <w:color w:val="auto"/>
          <w:sz w:val="32"/>
          <w:szCs w:val="32"/>
          <w:lang w:val="en-US" w:eastAsia="zh-CN"/>
        </w:rPr>
        <w:t>是司法机关及其他政法机关对符合救助条件且生活困难的当事人，给予救济的制度。</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olor w:val="auto"/>
          <w:sz w:val="32"/>
          <w:szCs w:val="32"/>
          <w:lang w:val="en-US" w:eastAsia="zh-CN"/>
        </w:rPr>
      </w:pPr>
    </w:p>
    <w:sectPr>
      <w:footerReference r:id="rId3" w:type="default"/>
      <w:pgSz w:w="11878" w:h="16783" w:orient="landscape"/>
      <w:pgMar w:top="1803" w:right="1440" w:bottom="1803" w:left="1440" w:header="851" w:footer="992" w:gutter="0"/>
      <w:paperSrc/>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餅╋灛餅">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26B9C"/>
    <w:multiLevelType w:val="singleLevel"/>
    <w:tmpl w:val="8D726B9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bookFoldPrinting w:val="1"/>
  <w:bookFoldPrintingSheets w:val="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06AE"/>
    <w:rsid w:val="00083E66"/>
    <w:rsid w:val="00391D84"/>
    <w:rsid w:val="003E6343"/>
    <w:rsid w:val="00517BC7"/>
    <w:rsid w:val="00935A78"/>
    <w:rsid w:val="00B95575"/>
    <w:rsid w:val="011360E0"/>
    <w:rsid w:val="01383EF9"/>
    <w:rsid w:val="016E1652"/>
    <w:rsid w:val="018754E0"/>
    <w:rsid w:val="01934882"/>
    <w:rsid w:val="01C96002"/>
    <w:rsid w:val="01FD7B4E"/>
    <w:rsid w:val="0224084B"/>
    <w:rsid w:val="022E4C91"/>
    <w:rsid w:val="024128D8"/>
    <w:rsid w:val="024746CA"/>
    <w:rsid w:val="02980F9A"/>
    <w:rsid w:val="02A96ADE"/>
    <w:rsid w:val="02B54EEA"/>
    <w:rsid w:val="02D56697"/>
    <w:rsid w:val="02D71D27"/>
    <w:rsid w:val="02F024CD"/>
    <w:rsid w:val="03054383"/>
    <w:rsid w:val="03371E0E"/>
    <w:rsid w:val="034E2A3A"/>
    <w:rsid w:val="03720700"/>
    <w:rsid w:val="03951B93"/>
    <w:rsid w:val="03BA004A"/>
    <w:rsid w:val="03C45FC0"/>
    <w:rsid w:val="03E90B46"/>
    <w:rsid w:val="04172A68"/>
    <w:rsid w:val="0422773A"/>
    <w:rsid w:val="042D397B"/>
    <w:rsid w:val="0432615E"/>
    <w:rsid w:val="04574686"/>
    <w:rsid w:val="048A122C"/>
    <w:rsid w:val="04971DDC"/>
    <w:rsid w:val="04A03DFF"/>
    <w:rsid w:val="04A63F81"/>
    <w:rsid w:val="04AF4F72"/>
    <w:rsid w:val="04B80FD3"/>
    <w:rsid w:val="04CC39C4"/>
    <w:rsid w:val="04D43C27"/>
    <w:rsid w:val="04E534E6"/>
    <w:rsid w:val="04F30CF5"/>
    <w:rsid w:val="050F3F28"/>
    <w:rsid w:val="054C3DE8"/>
    <w:rsid w:val="05514E4F"/>
    <w:rsid w:val="055E31ED"/>
    <w:rsid w:val="057959A4"/>
    <w:rsid w:val="0595094C"/>
    <w:rsid w:val="05AE59C9"/>
    <w:rsid w:val="05DA5140"/>
    <w:rsid w:val="05ED6DD7"/>
    <w:rsid w:val="05EE5408"/>
    <w:rsid w:val="060819AA"/>
    <w:rsid w:val="06592BC6"/>
    <w:rsid w:val="0696042D"/>
    <w:rsid w:val="07172F96"/>
    <w:rsid w:val="0719554F"/>
    <w:rsid w:val="072729AD"/>
    <w:rsid w:val="073C6F59"/>
    <w:rsid w:val="07507334"/>
    <w:rsid w:val="075313D7"/>
    <w:rsid w:val="07531AEA"/>
    <w:rsid w:val="07A07930"/>
    <w:rsid w:val="07AA7B7F"/>
    <w:rsid w:val="07BC5200"/>
    <w:rsid w:val="07C725EB"/>
    <w:rsid w:val="07DD696E"/>
    <w:rsid w:val="08136F64"/>
    <w:rsid w:val="08164176"/>
    <w:rsid w:val="08230F74"/>
    <w:rsid w:val="08242428"/>
    <w:rsid w:val="08596591"/>
    <w:rsid w:val="088032FC"/>
    <w:rsid w:val="088F4D5A"/>
    <w:rsid w:val="08A02A33"/>
    <w:rsid w:val="08A761B2"/>
    <w:rsid w:val="08D93A35"/>
    <w:rsid w:val="08E37D43"/>
    <w:rsid w:val="091222D8"/>
    <w:rsid w:val="0948790D"/>
    <w:rsid w:val="094C418E"/>
    <w:rsid w:val="09616DD0"/>
    <w:rsid w:val="099A03AB"/>
    <w:rsid w:val="09A150B6"/>
    <w:rsid w:val="09BE2BE0"/>
    <w:rsid w:val="09CA604E"/>
    <w:rsid w:val="09FE2E9F"/>
    <w:rsid w:val="0A05611E"/>
    <w:rsid w:val="0A0A1EA4"/>
    <w:rsid w:val="0A726639"/>
    <w:rsid w:val="0A815914"/>
    <w:rsid w:val="0A8479DC"/>
    <w:rsid w:val="0A90519F"/>
    <w:rsid w:val="0AAF2038"/>
    <w:rsid w:val="0ACE6E80"/>
    <w:rsid w:val="0AFB090D"/>
    <w:rsid w:val="0B3B6E19"/>
    <w:rsid w:val="0B520B15"/>
    <w:rsid w:val="0B7A0258"/>
    <w:rsid w:val="0B98696C"/>
    <w:rsid w:val="0B9C1886"/>
    <w:rsid w:val="0B9F2BBD"/>
    <w:rsid w:val="0BAA4DA9"/>
    <w:rsid w:val="0BB73B44"/>
    <w:rsid w:val="0BF56A59"/>
    <w:rsid w:val="0BFF0A01"/>
    <w:rsid w:val="0C132ED0"/>
    <w:rsid w:val="0C486703"/>
    <w:rsid w:val="0C4D2412"/>
    <w:rsid w:val="0C542510"/>
    <w:rsid w:val="0C5D3B8A"/>
    <w:rsid w:val="0C637445"/>
    <w:rsid w:val="0C845885"/>
    <w:rsid w:val="0C870CAF"/>
    <w:rsid w:val="0C8B6ED8"/>
    <w:rsid w:val="0C9246AD"/>
    <w:rsid w:val="0CA45004"/>
    <w:rsid w:val="0CB35402"/>
    <w:rsid w:val="0CB75C65"/>
    <w:rsid w:val="0CBC5495"/>
    <w:rsid w:val="0CD52961"/>
    <w:rsid w:val="0CE5793C"/>
    <w:rsid w:val="0D066D1D"/>
    <w:rsid w:val="0D0B64FE"/>
    <w:rsid w:val="0D0C40CE"/>
    <w:rsid w:val="0D3075B1"/>
    <w:rsid w:val="0D3E3059"/>
    <w:rsid w:val="0D471A81"/>
    <w:rsid w:val="0D66608A"/>
    <w:rsid w:val="0DB517EE"/>
    <w:rsid w:val="0DD972F7"/>
    <w:rsid w:val="0DDC1BC1"/>
    <w:rsid w:val="0DE629DA"/>
    <w:rsid w:val="0E0D3CA5"/>
    <w:rsid w:val="0E19726C"/>
    <w:rsid w:val="0E217F89"/>
    <w:rsid w:val="0E5526E3"/>
    <w:rsid w:val="0E967CFC"/>
    <w:rsid w:val="0E9971C5"/>
    <w:rsid w:val="0EAA7A03"/>
    <w:rsid w:val="0EAF214C"/>
    <w:rsid w:val="0EE4739F"/>
    <w:rsid w:val="0F230DA9"/>
    <w:rsid w:val="0F3A78AB"/>
    <w:rsid w:val="0FA8044D"/>
    <w:rsid w:val="0FE250D0"/>
    <w:rsid w:val="0FE85C89"/>
    <w:rsid w:val="0FF27DB6"/>
    <w:rsid w:val="10042D25"/>
    <w:rsid w:val="1009238E"/>
    <w:rsid w:val="1016496B"/>
    <w:rsid w:val="101C338D"/>
    <w:rsid w:val="107379D6"/>
    <w:rsid w:val="107B5F87"/>
    <w:rsid w:val="109C6A07"/>
    <w:rsid w:val="10C10F05"/>
    <w:rsid w:val="10C6276C"/>
    <w:rsid w:val="112D3046"/>
    <w:rsid w:val="116937CD"/>
    <w:rsid w:val="117B4505"/>
    <w:rsid w:val="11855871"/>
    <w:rsid w:val="119B77D5"/>
    <w:rsid w:val="11C01CA3"/>
    <w:rsid w:val="11C20384"/>
    <w:rsid w:val="11C3385E"/>
    <w:rsid w:val="11D121F6"/>
    <w:rsid w:val="11D37436"/>
    <w:rsid w:val="11E52F5B"/>
    <w:rsid w:val="122318FC"/>
    <w:rsid w:val="12243763"/>
    <w:rsid w:val="122948A8"/>
    <w:rsid w:val="122C3A1F"/>
    <w:rsid w:val="128713DC"/>
    <w:rsid w:val="12CE05B8"/>
    <w:rsid w:val="12D3592B"/>
    <w:rsid w:val="12FB471A"/>
    <w:rsid w:val="13055443"/>
    <w:rsid w:val="13685102"/>
    <w:rsid w:val="136B7B5A"/>
    <w:rsid w:val="13B245C9"/>
    <w:rsid w:val="13D172B1"/>
    <w:rsid w:val="13E05707"/>
    <w:rsid w:val="13EC5E94"/>
    <w:rsid w:val="144D7D7D"/>
    <w:rsid w:val="14590E1E"/>
    <w:rsid w:val="146B2478"/>
    <w:rsid w:val="14A13470"/>
    <w:rsid w:val="14A6553C"/>
    <w:rsid w:val="15115D81"/>
    <w:rsid w:val="152F3444"/>
    <w:rsid w:val="155338AF"/>
    <w:rsid w:val="155529AD"/>
    <w:rsid w:val="15680C34"/>
    <w:rsid w:val="156D0FEB"/>
    <w:rsid w:val="15986DF5"/>
    <w:rsid w:val="15DB1E67"/>
    <w:rsid w:val="15DE6583"/>
    <w:rsid w:val="15EF14E3"/>
    <w:rsid w:val="15FE2B61"/>
    <w:rsid w:val="160F4DFA"/>
    <w:rsid w:val="1619724B"/>
    <w:rsid w:val="16401F9B"/>
    <w:rsid w:val="16456334"/>
    <w:rsid w:val="1666425F"/>
    <w:rsid w:val="1669417E"/>
    <w:rsid w:val="167B6765"/>
    <w:rsid w:val="167E17D9"/>
    <w:rsid w:val="16873275"/>
    <w:rsid w:val="1690263E"/>
    <w:rsid w:val="16B70DC8"/>
    <w:rsid w:val="16B72F81"/>
    <w:rsid w:val="17002095"/>
    <w:rsid w:val="17025F34"/>
    <w:rsid w:val="1735125C"/>
    <w:rsid w:val="17421BBF"/>
    <w:rsid w:val="175A65BE"/>
    <w:rsid w:val="178F5C2F"/>
    <w:rsid w:val="17FE3F90"/>
    <w:rsid w:val="18203904"/>
    <w:rsid w:val="1830606B"/>
    <w:rsid w:val="18354F0C"/>
    <w:rsid w:val="18442F1D"/>
    <w:rsid w:val="18495D92"/>
    <w:rsid w:val="18517016"/>
    <w:rsid w:val="18535FA4"/>
    <w:rsid w:val="186826C8"/>
    <w:rsid w:val="18B4402E"/>
    <w:rsid w:val="18D055D7"/>
    <w:rsid w:val="18D811DB"/>
    <w:rsid w:val="19025C29"/>
    <w:rsid w:val="190833C4"/>
    <w:rsid w:val="19094700"/>
    <w:rsid w:val="19116A17"/>
    <w:rsid w:val="191D326B"/>
    <w:rsid w:val="19302DEE"/>
    <w:rsid w:val="193F141E"/>
    <w:rsid w:val="196229C4"/>
    <w:rsid w:val="19B7588A"/>
    <w:rsid w:val="19C01B22"/>
    <w:rsid w:val="1A0E780A"/>
    <w:rsid w:val="1A0F4D4F"/>
    <w:rsid w:val="1A12223E"/>
    <w:rsid w:val="1A1355C7"/>
    <w:rsid w:val="1A253709"/>
    <w:rsid w:val="1A2B3064"/>
    <w:rsid w:val="1A4E1FEA"/>
    <w:rsid w:val="1A7F5A3D"/>
    <w:rsid w:val="1AB01ACE"/>
    <w:rsid w:val="1ABF189E"/>
    <w:rsid w:val="1AD54873"/>
    <w:rsid w:val="1ADD04FB"/>
    <w:rsid w:val="1AE17D54"/>
    <w:rsid w:val="1AF3633C"/>
    <w:rsid w:val="1B0C1CE7"/>
    <w:rsid w:val="1B1B4754"/>
    <w:rsid w:val="1B1E03CA"/>
    <w:rsid w:val="1B2B64EA"/>
    <w:rsid w:val="1B2B71DF"/>
    <w:rsid w:val="1B3030EA"/>
    <w:rsid w:val="1B3C64F7"/>
    <w:rsid w:val="1B5E4A06"/>
    <w:rsid w:val="1B62783E"/>
    <w:rsid w:val="1BA32C10"/>
    <w:rsid w:val="1BBD6DFC"/>
    <w:rsid w:val="1BD544B0"/>
    <w:rsid w:val="1C012190"/>
    <w:rsid w:val="1C1A2A53"/>
    <w:rsid w:val="1C4C7D52"/>
    <w:rsid w:val="1C5244DB"/>
    <w:rsid w:val="1C61285A"/>
    <w:rsid w:val="1CA112D6"/>
    <w:rsid w:val="1CB97F90"/>
    <w:rsid w:val="1CBF7B37"/>
    <w:rsid w:val="1CC20CD7"/>
    <w:rsid w:val="1CD33E07"/>
    <w:rsid w:val="1D320E2A"/>
    <w:rsid w:val="1D3E7C5E"/>
    <w:rsid w:val="1D3F7E41"/>
    <w:rsid w:val="1D47194F"/>
    <w:rsid w:val="1D5A0F02"/>
    <w:rsid w:val="1D711CCA"/>
    <w:rsid w:val="1DC0323E"/>
    <w:rsid w:val="1DDA5AC2"/>
    <w:rsid w:val="1E21201A"/>
    <w:rsid w:val="1E461810"/>
    <w:rsid w:val="1E762872"/>
    <w:rsid w:val="1EC02861"/>
    <w:rsid w:val="1ED431C9"/>
    <w:rsid w:val="1EEF081B"/>
    <w:rsid w:val="1EFD183E"/>
    <w:rsid w:val="1F162125"/>
    <w:rsid w:val="1F1D273D"/>
    <w:rsid w:val="1F2712C1"/>
    <w:rsid w:val="1F4D4C3F"/>
    <w:rsid w:val="1F6644FA"/>
    <w:rsid w:val="1F6F28A1"/>
    <w:rsid w:val="1F75757B"/>
    <w:rsid w:val="1F8A6EB6"/>
    <w:rsid w:val="1F910D68"/>
    <w:rsid w:val="1F9E4AB1"/>
    <w:rsid w:val="1FA0534F"/>
    <w:rsid w:val="1FA84F18"/>
    <w:rsid w:val="1FAA2E1A"/>
    <w:rsid w:val="1FB91BA5"/>
    <w:rsid w:val="1FC27D0E"/>
    <w:rsid w:val="1FDE46D6"/>
    <w:rsid w:val="1FEC2352"/>
    <w:rsid w:val="1FF76DA3"/>
    <w:rsid w:val="1FFE7697"/>
    <w:rsid w:val="20065C49"/>
    <w:rsid w:val="20144D51"/>
    <w:rsid w:val="20197F50"/>
    <w:rsid w:val="20414EFF"/>
    <w:rsid w:val="20463AF4"/>
    <w:rsid w:val="205C1E50"/>
    <w:rsid w:val="209A02B9"/>
    <w:rsid w:val="20DF47AD"/>
    <w:rsid w:val="20E158CE"/>
    <w:rsid w:val="20EB578F"/>
    <w:rsid w:val="21585059"/>
    <w:rsid w:val="21656B8C"/>
    <w:rsid w:val="2198439A"/>
    <w:rsid w:val="21CE069D"/>
    <w:rsid w:val="21CF3916"/>
    <w:rsid w:val="21DA2E4D"/>
    <w:rsid w:val="21DC6495"/>
    <w:rsid w:val="21EF7AC5"/>
    <w:rsid w:val="21FA48F5"/>
    <w:rsid w:val="22057CEA"/>
    <w:rsid w:val="222C0CE8"/>
    <w:rsid w:val="223252F9"/>
    <w:rsid w:val="2270406A"/>
    <w:rsid w:val="227A2A3C"/>
    <w:rsid w:val="22805032"/>
    <w:rsid w:val="229542E4"/>
    <w:rsid w:val="230B47FF"/>
    <w:rsid w:val="23123952"/>
    <w:rsid w:val="23306E37"/>
    <w:rsid w:val="23376B3E"/>
    <w:rsid w:val="233F0ADE"/>
    <w:rsid w:val="234B7763"/>
    <w:rsid w:val="2368507B"/>
    <w:rsid w:val="237316A2"/>
    <w:rsid w:val="237E63FD"/>
    <w:rsid w:val="237E73E6"/>
    <w:rsid w:val="23C44EF2"/>
    <w:rsid w:val="241C15C5"/>
    <w:rsid w:val="243972AD"/>
    <w:rsid w:val="24484C09"/>
    <w:rsid w:val="24667D90"/>
    <w:rsid w:val="2468491E"/>
    <w:rsid w:val="246E6A4A"/>
    <w:rsid w:val="247520B0"/>
    <w:rsid w:val="24964AEE"/>
    <w:rsid w:val="24997179"/>
    <w:rsid w:val="24D2366E"/>
    <w:rsid w:val="24E07A83"/>
    <w:rsid w:val="24E13BC8"/>
    <w:rsid w:val="24F70081"/>
    <w:rsid w:val="24FA31C4"/>
    <w:rsid w:val="25134B96"/>
    <w:rsid w:val="251E1519"/>
    <w:rsid w:val="2583533B"/>
    <w:rsid w:val="259612D7"/>
    <w:rsid w:val="25A750BB"/>
    <w:rsid w:val="25AD7D62"/>
    <w:rsid w:val="25C36FC7"/>
    <w:rsid w:val="25E31E29"/>
    <w:rsid w:val="2619117B"/>
    <w:rsid w:val="261B4A8B"/>
    <w:rsid w:val="264F6847"/>
    <w:rsid w:val="26512CB5"/>
    <w:rsid w:val="26975752"/>
    <w:rsid w:val="26A2479A"/>
    <w:rsid w:val="26A62DED"/>
    <w:rsid w:val="26DF73E1"/>
    <w:rsid w:val="26EB4A9D"/>
    <w:rsid w:val="270E2D8D"/>
    <w:rsid w:val="271B1A2E"/>
    <w:rsid w:val="272E0DEC"/>
    <w:rsid w:val="27445F04"/>
    <w:rsid w:val="27627284"/>
    <w:rsid w:val="27662233"/>
    <w:rsid w:val="277D6E8D"/>
    <w:rsid w:val="27A94C07"/>
    <w:rsid w:val="27AA4DE0"/>
    <w:rsid w:val="27BC66ED"/>
    <w:rsid w:val="27C0775A"/>
    <w:rsid w:val="27CC69FF"/>
    <w:rsid w:val="27DF0715"/>
    <w:rsid w:val="282B1533"/>
    <w:rsid w:val="2852710D"/>
    <w:rsid w:val="289F1C46"/>
    <w:rsid w:val="28AF6B26"/>
    <w:rsid w:val="28B73B6A"/>
    <w:rsid w:val="28B7454C"/>
    <w:rsid w:val="28BF25DE"/>
    <w:rsid w:val="28CA09E6"/>
    <w:rsid w:val="29040A85"/>
    <w:rsid w:val="29434DC4"/>
    <w:rsid w:val="294D06C1"/>
    <w:rsid w:val="2962224A"/>
    <w:rsid w:val="29882C9B"/>
    <w:rsid w:val="29CB79A8"/>
    <w:rsid w:val="29E93788"/>
    <w:rsid w:val="29F44D17"/>
    <w:rsid w:val="29F54450"/>
    <w:rsid w:val="29F54E5A"/>
    <w:rsid w:val="2A037030"/>
    <w:rsid w:val="2A05429A"/>
    <w:rsid w:val="2A18651C"/>
    <w:rsid w:val="2A5A4983"/>
    <w:rsid w:val="2A632DEA"/>
    <w:rsid w:val="2A7416F8"/>
    <w:rsid w:val="2A7839D0"/>
    <w:rsid w:val="2A8308A0"/>
    <w:rsid w:val="2A922717"/>
    <w:rsid w:val="2A9F707E"/>
    <w:rsid w:val="2AA5439E"/>
    <w:rsid w:val="2AC60AA9"/>
    <w:rsid w:val="2AFD21B6"/>
    <w:rsid w:val="2B0C6B9C"/>
    <w:rsid w:val="2B1320AD"/>
    <w:rsid w:val="2B285BD2"/>
    <w:rsid w:val="2B487F43"/>
    <w:rsid w:val="2B891E37"/>
    <w:rsid w:val="2BDB14D6"/>
    <w:rsid w:val="2BF16932"/>
    <w:rsid w:val="2BF40114"/>
    <w:rsid w:val="2C017EEC"/>
    <w:rsid w:val="2C0D4F3D"/>
    <w:rsid w:val="2C404C25"/>
    <w:rsid w:val="2C540B64"/>
    <w:rsid w:val="2C5B2489"/>
    <w:rsid w:val="2C6C3BFA"/>
    <w:rsid w:val="2C9D5316"/>
    <w:rsid w:val="2CA376B4"/>
    <w:rsid w:val="2CA52F52"/>
    <w:rsid w:val="2CB92D5D"/>
    <w:rsid w:val="2CDE71F4"/>
    <w:rsid w:val="2D1A72C0"/>
    <w:rsid w:val="2D253959"/>
    <w:rsid w:val="2D2A4BE2"/>
    <w:rsid w:val="2D6427F6"/>
    <w:rsid w:val="2D951778"/>
    <w:rsid w:val="2DA31E64"/>
    <w:rsid w:val="2DF66C1C"/>
    <w:rsid w:val="2E0940E0"/>
    <w:rsid w:val="2E112F41"/>
    <w:rsid w:val="2E596B14"/>
    <w:rsid w:val="2E8A14CA"/>
    <w:rsid w:val="2E8E225C"/>
    <w:rsid w:val="2EAD5705"/>
    <w:rsid w:val="2EDF051F"/>
    <w:rsid w:val="2EF866E7"/>
    <w:rsid w:val="2F2A2A0C"/>
    <w:rsid w:val="2F3F0A7D"/>
    <w:rsid w:val="2F637F9E"/>
    <w:rsid w:val="2F714C2F"/>
    <w:rsid w:val="2FAB2605"/>
    <w:rsid w:val="2FBE3B6C"/>
    <w:rsid w:val="2FCE50CB"/>
    <w:rsid w:val="2FF13737"/>
    <w:rsid w:val="2FFE4DED"/>
    <w:rsid w:val="30157B28"/>
    <w:rsid w:val="30206B70"/>
    <w:rsid w:val="304719EA"/>
    <w:rsid w:val="3055279C"/>
    <w:rsid w:val="30726FF0"/>
    <w:rsid w:val="30936B54"/>
    <w:rsid w:val="30D506BA"/>
    <w:rsid w:val="30F15DE3"/>
    <w:rsid w:val="30FE629D"/>
    <w:rsid w:val="31240034"/>
    <w:rsid w:val="312F2DA9"/>
    <w:rsid w:val="31512E90"/>
    <w:rsid w:val="31537565"/>
    <w:rsid w:val="319266FB"/>
    <w:rsid w:val="31F45C2D"/>
    <w:rsid w:val="32071368"/>
    <w:rsid w:val="321914A6"/>
    <w:rsid w:val="322540FE"/>
    <w:rsid w:val="32514172"/>
    <w:rsid w:val="32D01B64"/>
    <w:rsid w:val="32E751E5"/>
    <w:rsid w:val="32EC1DDD"/>
    <w:rsid w:val="334625A8"/>
    <w:rsid w:val="33C34280"/>
    <w:rsid w:val="33EF1533"/>
    <w:rsid w:val="344454CF"/>
    <w:rsid w:val="344C7484"/>
    <w:rsid w:val="346D10FF"/>
    <w:rsid w:val="349761DF"/>
    <w:rsid w:val="349D54AA"/>
    <w:rsid w:val="34C60C0F"/>
    <w:rsid w:val="351901BF"/>
    <w:rsid w:val="3527464B"/>
    <w:rsid w:val="3533522B"/>
    <w:rsid w:val="35483E56"/>
    <w:rsid w:val="35724733"/>
    <w:rsid w:val="3576208E"/>
    <w:rsid w:val="357D123F"/>
    <w:rsid w:val="358B22D3"/>
    <w:rsid w:val="358F60B9"/>
    <w:rsid w:val="35D34297"/>
    <w:rsid w:val="35DE13C3"/>
    <w:rsid w:val="36306375"/>
    <w:rsid w:val="36437D8B"/>
    <w:rsid w:val="365158CC"/>
    <w:rsid w:val="366B4309"/>
    <w:rsid w:val="368618FD"/>
    <w:rsid w:val="36940DF7"/>
    <w:rsid w:val="36CF3315"/>
    <w:rsid w:val="37211485"/>
    <w:rsid w:val="374318DE"/>
    <w:rsid w:val="375107E2"/>
    <w:rsid w:val="37611959"/>
    <w:rsid w:val="37A42E07"/>
    <w:rsid w:val="37BA47B5"/>
    <w:rsid w:val="37BB0691"/>
    <w:rsid w:val="37D61516"/>
    <w:rsid w:val="37EA01D6"/>
    <w:rsid w:val="37EA406E"/>
    <w:rsid w:val="3801702C"/>
    <w:rsid w:val="381111D1"/>
    <w:rsid w:val="38235F70"/>
    <w:rsid w:val="383D6EB6"/>
    <w:rsid w:val="38404F43"/>
    <w:rsid w:val="38413036"/>
    <w:rsid w:val="38540FDB"/>
    <w:rsid w:val="38575483"/>
    <w:rsid w:val="385866F3"/>
    <w:rsid w:val="38674815"/>
    <w:rsid w:val="38E547F6"/>
    <w:rsid w:val="39226D41"/>
    <w:rsid w:val="39265D04"/>
    <w:rsid w:val="392F2CC6"/>
    <w:rsid w:val="3942330B"/>
    <w:rsid w:val="394268C4"/>
    <w:rsid w:val="397831F4"/>
    <w:rsid w:val="39937F94"/>
    <w:rsid w:val="39C94B9B"/>
    <w:rsid w:val="3A0454A4"/>
    <w:rsid w:val="3A0670AE"/>
    <w:rsid w:val="3A317DE6"/>
    <w:rsid w:val="3A3727DC"/>
    <w:rsid w:val="3A660B63"/>
    <w:rsid w:val="3A887EB7"/>
    <w:rsid w:val="3A9B7744"/>
    <w:rsid w:val="3AED2FDA"/>
    <w:rsid w:val="3AEF6815"/>
    <w:rsid w:val="3AF739BD"/>
    <w:rsid w:val="3B111705"/>
    <w:rsid w:val="3B176175"/>
    <w:rsid w:val="3B1C6755"/>
    <w:rsid w:val="3B223AAE"/>
    <w:rsid w:val="3B590BFC"/>
    <w:rsid w:val="3B6F4FAF"/>
    <w:rsid w:val="3B7E5F38"/>
    <w:rsid w:val="3B8F7127"/>
    <w:rsid w:val="3BC3598F"/>
    <w:rsid w:val="3BD52C69"/>
    <w:rsid w:val="3BEE6B83"/>
    <w:rsid w:val="3BF2507E"/>
    <w:rsid w:val="3BFD6855"/>
    <w:rsid w:val="3C225587"/>
    <w:rsid w:val="3C4E5751"/>
    <w:rsid w:val="3C4F7D52"/>
    <w:rsid w:val="3C507E5D"/>
    <w:rsid w:val="3C733193"/>
    <w:rsid w:val="3C8A0362"/>
    <w:rsid w:val="3CB15CA9"/>
    <w:rsid w:val="3CC32578"/>
    <w:rsid w:val="3CDB7754"/>
    <w:rsid w:val="3CDC372A"/>
    <w:rsid w:val="3CE950A7"/>
    <w:rsid w:val="3CF60E96"/>
    <w:rsid w:val="3CF945C0"/>
    <w:rsid w:val="3D064871"/>
    <w:rsid w:val="3D186404"/>
    <w:rsid w:val="3D637378"/>
    <w:rsid w:val="3D811C87"/>
    <w:rsid w:val="3D9A77B3"/>
    <w:rsid w:val="3DB05EC8"/>
    <w:rsid w:val="3DC030F4"/>
    <w:rsid w:val="3DDD384B"/>
    <w:rsid w:val="3E231A95"/>
    <w:rsid w:val="3E234B92"/>
    <w:rsid w:val="3E275260"/>
    <w:rsid w:val="3E4E13BA"/>
    <w:rsid w:val="3E697AB0"/>
    <w:rsid w:val="3E6E3CDC"/>
    <w:rsid w:val="3E7563F7"/>
    <w:rsid w:val="3E7B27BE"/>
    <w:rsid w:val="3ECB5933"/>
    <w:rsid w:val="3ED3494C"/>
    <w:rsid w:val="3F2F1972"/>
    <w:rsid w:val="3F325D94"/>
    <w:rsid w:val="3F6516D0"/>
    <w:rsid w:val="3F88444C"/>
    <w:rsid w:val="3F887742"/>
    <w:rsid w:val="3F9E7182"/>
    <w:rsid w:val="3FDB1738"/>
    <w:rsid w:val="3FDB79D9"/>
    <w:rsid w:val="401A721E"/>
    <w:rsid w:val="40292472"/>
    <w:rsid w:val="405727D4"/>
    <w:rsid w:val="40594719"/>
    <w:rsid w:val="408D728E"/>
    <w:rsid w:val="40A03CDC"/>
    <w:rsid w:val="4104143C"/>
    <w:rsid w:val="410B6776"/>
    <w:rsid w:val="413E2D8F"/>
    <w:rsid w:val="415735D6"/>
    <w:rsid w:val="417C6C29"/>
    <w:rsid w:val="419E39C5"/>
    <w:rsid w:val="41C2342B"/>
    <w:rsid w:val="41E14ACD"/>
    <w:rsid w:val="42137942"/>
    <w:rsid w:val="42155F6E"/>
    <w:rsid w:val="42466AA3"/>
    <w:rsid w:val="424F4A2A"/>
    <w:rsid w:val="426F7F87"/>
    <w:rsid w:val="42787BEC"/>
    <w:rsid w:val="42905406"/>
    <w:rsid w:val="42AC1A2F"/>
    <w:rsid w:val="42B7601A"/>
    <w:rsid w:val="42C04459"/>
    <w:rsid w:val="42C30AA5"/>
    <w:rsid w:val="42DD7850"/>
    <w:rsid w:val="42F13257"/>
    <w:rsid w:val="43296461"/>
    <w:rsid w:val="435D1A09"/>
    <w:rsid w:val="43900ECE"/>
    <w:rsid w:val="43B439CE"/>
    <w:rsid w:val="43BF3F35"/>
    <w:rsid w:val="43EB418B"/>
    <w:rsid w:val="43F05FD2"/>
    <w:rsid w:val="43F329DC"/>
    <w:rsid w:val="44031339"/>
    <w:rsid w:val="440E3BD8"/>
    <w:rsid w:val="443702B5"/>
    <w:rsid w:val="44420967"/>
    <w:rsid w:val="44692EB5"/>
    <w:rsid w:val="446D6E05"/>
    <w:rsid w:val="447914D2"/>
    <w:rsid w:val="4479244E"/>
    <w:rsid w:val="449B6FDA"/>
    <w:rsid w:val="44BA58E6"/>
    <w:rsid w:val="44C569A1"/>
    <w:rsid w:val="45325A65"/>
    <w:rsid w:val="45507A62"/>
    <w:rsid w:val="45527995"/>
    <w:rsid w:val="45546261"/>
    <w:rsid w:val="45945622"/>
    <w:rsid w:val="459565FA"/>
    <w:rsid w:val="459A1E68"/>
    <w:rsid w:val="45B1780D"/>
    <w:rsid w:val="45CF1402"/>
    <w:rsid w:val="45D81897"/>
    <w:rsid w:val="45F84FFE"/>
    <w:rsid w:val="46312192"/>
    <w:rsid w:val="46575AEE"/>
    <w:rsid w:val="46580EB1"/>
    <w:rsid w:val="46BE3879"/>
    <w:rsid w:val="46C10098"/>
    <w:rsid w:val="47000D52"/>
    <w:rsid w:val="471240EB"/>
    <w:rsid w:val="471C0248"/>
    <w:rsid w:val="4723591C"/>
    <w:rsid w:val="47575D40"/>
    <w:rsid w:val="475B7748"/>
    <w:rsid w:val="47873B3B"/>
    <w:rsid w:val="47A52329"/>
    <w:rsid w:val="47EF0B44"/>
    <w:rsid w:val="47FC299C"/>
    <w:rsid w:val="480C5573"/>
    <w:rsid w:val="481151C2"/>
    <w:rsid w:val="481444F3"/>
    <w:rsid w:val="48210E30"/>
    <w:rsid w:val="48274FEB"/>
    <w:rsid w:val="48541F27"/>
    <w:rsid w:val="48676284"/>
    <w:rsid w:val="48873FE3"/>
    <w:rsid w:val="488910D3"/>
    <w:rsid w:val="48BC5821"/>
    <w:rsid w:val="48CD1D25"/>
    <w:rsid w:val="48E23A41"/>
    <w:rsid w:val="48E23E01"/>
    <w:rsid w:val="48FC5AD2"/>
    <w:rsid w:val="492A0DF6"/>
    <w:rsid w:val="494743F7"/>
    <w:rsid w:val="49607757"/>
    <w:rsid w:val="496A61F0"/>
    <w:rsid w:val="49901CA2"/>
    <w:rsid w:val="499744D3"/>
    <w:rsid w:val="499A703F"/>
    <w:rsid w:val="499C2F93"/>
    <w:rsid w:val="4A1F0A83"/>
    <w:rsid w:val="4A1F2E40"/>
    <w:rsid w:val="4A275A5E"/>
    <w:rsid w:val="4A575C6F"/>
    <w:rsid w:val="4A743110"/>
    <w:rsid w:val="4A7972EA"/>
    <w:rsid w:val="4A9173E4"/>
    <w:rsid w:val="4A9D50C3"/>
    <w:rsid w:val="4AD94980"/>
    <w:rsid w:val="4AEF22C8"/>
    <w:rsid w:val="4B1A0100"/>
    <w:rsid w:val="4B26693A"/>
    <w:rsid w:val="4BD84B3A"/>
    <w:rsid w:val="4C02643F"/>
    <w:rsid w:val="4C055A0D"/>
    <w:rsid w:val="4C2424DF"/>
    <w:rsid w:val="4C373BDF"/>
    <w:rsid w:val="4C421845"/>
    <w:rsid w:val="4C4D39AE"/>
    <w:rsid w:val="4C6C5792"/>
    <w:rsid w:val="4C6D436F"/>
    <w:rsid w:val="4C95176B"/>
    <w:rsid w:val="4CF203D6"/>
    <w:rsid w:val="4CF97381"/>
    <w:rsid w:val="4CFF503E"/>
    <w:rsid w:val="4D083485"/>
    <w:rsid w:val="4D0F1CF3"/>
    <w:rsid w:val="4D240DBA"/>
    <w:rsid w:val="4D4907F8"/>
    <w:rsid w:val="4D4D1B2D"/>
    <w:rsid w:val="4D517FFC"/>
    <w:rsid w:val="4D5240BD"/>
    <w:rsid w:val="4D8D5D41"/>
    <w:rsid w:val="4DD87AD6"/>
    <w:rsid w:val="4DD95461"/>
    <w:rsid w:val="4DE52A63"/>
    <w:rsid w:val="4DE53EB8"/>
    <w:rsid w:val="4DF5252A"/>
    <w:rsid w:val="4E0E67BB"/>
    <w:rsid w:val="4E2E52B1"/>
    <w:rsid w:val="4E5C387A"/>
    <w:rsid w:val="4E642A5D"/>
    <w:rsid w:val="4EAF356D"/>
    <w:rsid w:val="4EB04B4A"/>
    <w:rsid w:val="4F04208A"/>
    <w:rsid w:val="4F195D5B"/>
    <w:rsid w:val="4F5763C7"/>
    <w:rsid w:val="4F6B1703"/>
    <w:rsid w:val="4FE60A2A"/>
    <w:rsid w:val="4FEA604A"/>
    <w:rsid w:val="501506E7"/>
    <w:rsid w:val="501F5F6F"/>
    <w:rsid w:val="50383E20"/>
    <w:rsid w:val="506757C9"/>
    <w:rsid w:val="507E039F"/>
    <w:rsid w:val="507E2660"/>
    <w:rsid w:val="50C65BEB"/>
    <w:rsid w:val="514D693E"/>
    <w:rsid w:val="515B0EB5"/>
    <w:rsid w:val="516E2AA6"/>
    <w:rsid w:val="524C7A06"/>
    <w:rsid w:val="52537229"/>
    <w:rsid w:val="52BA7BA9"/>
    <w:rsid w:val="52D23127"/>
    <w:rsid w:val="52D90FED"/>
    <w:rsid w:val="52DC6E87"/>
    <w:rsid w:val="532615D0"/>
    <w:rsid w:val="533B7A50"/>
    <w:rsid w:val="537C7FBA"/>
    <w:rsid w:val="538C5896"/>
    <w:rsid w:val="53B65B80"/>
    <w:rsid w:val="53EE5084"/>
    <w:rsid w:val="540708BF"/>
    <w:rsid w:val="54255BA1"/>
    <w:rsid w:val="54607F83"/>
    <w:rsid w:val="54652129"/>
    <w:rsid w:val="546530AB"/>
    <w:rsid w:val="54671A1C"/>
    <w:rsid w:val="549E0130"/>
    <w:rsid w:val="549F6DDB"/>
    <w:rsid w:val="54B129A0"/>
    <w:rsid w:val="54FA3D30"/>
    <w:rsid w:val="5507706A"/>
    <w:rsid w:val="550E645E"/>
    <w:rsid w:val="553666D9"/>
    <w:rsid w:val="554808EF"/>
    <w:rsid w:val="555E4AE7"/>
    <w:rsid w:val="55725E2D"/>
    <w:rsid w:val="559A6184"/>
    <w:rsid w:val="55AB7D68"/>
    <w:rsid w:val="562A05DF"/>
    <w:rsid w:val="56612C0C"/>
    <w:rsid w:val="566D14CB"/>
    <w:rsid w:val="56815F92"/>
    <w:rsid w:val="56B863D7"/>
    <w:rsid w:val="56C977A1"/>
    <w:rsid w:val="56CD4A98"/>
    <w:rsid w:val="56F11A98"/>
    <w:rsid w:val="56FB3852"/>
    <w:rsid w:val="57374F75"/>
    <w:rsid w:val="574F5525"/>
    <w:rsid w:val="575D3ACD"/>
    <w:rsid w:val="577222E8"/>
    <w:rsid w:val="5776396F"/>
    <w:rsid w:val="577D2D1F"/>
    <w:rsid w:val="57A33489"/>
    <w:rsid w:val="57C9143C"/>
    <w:rsid w:val="5804016B"/>
    <w:rsid w:val="585B3EF9"/>
    <w:rsid w:val="586170E7"/>
    <w:rsid w:val="587354DA"/>
    <w:rsid w:val="58A30BB2"/>
    <w:rsid w:val="58BC255A"/>
    <w:rsid w:val="59087BBE"/>
    <w:rsid w:val="59367A5A"/>
    <w:rsid w:val="593B3B6A"/>
    <w:rsid w:val="59583364"/>
    <w:rsid w:val="59C30C9E"/>
    <w:rsid w:val="5A2365EA"/>
    <w:rsid w:val="5A341953"/>
    <w:rsid w:val="5A3F5039"/>
    <w:rsid w:val="5A493AFB"/>
    <w:rsid w:val="5A5A00D4"/>
    <w:rsid w:val="5A64731A"/>
    <w:rsid w:val="5A6A5F9B"/>
    <w:rsid w:val="5A940892"/>
    <w:rsid w:val="5AD06106"/>
    <w:rsid w:val="5AD559EC"/>
    <w:rsid w:val="5AE9539A"/>
    <w:rsid w:val="5AFA2C94"/>
    <w:rsid w:val="5AFE7833"/>
    <w:rsid w:val="5B106528"/>
    <w:rsid w:val="5B125F02"/>
    <w:rsid w:val="5B165260"/>
    <w:rsid w:val="5B2F6807"/>
    <w:rsid w:val="5B306320"/>
    <w:rsid w:val="5B4B3606"/>
    <w:rsid w:val="5B641307"/>
    <w:rsid w:val="5B706408"/>
    <w:rsid w:val="5B7936B0"/>
    <w:rsid w:val="5B8D0FD1"/>
    <w:rsid w:val="5B9778D2"/>
    <w:rsid w:val="5BB4006A"/>
    <w:rsid w:val="5BC548BB"/>
    <w:rsid w:val="5BEE47BB"/>
    <w:rsid w:val="5BF82714"/>
    <w:rsid w:val="5C0D33A7"/>
    <w:rsid w:val="5C3342C0"/>
    <w:rsid w:val="5C434EF1"/>
    <w:rsid w:val="5D051C2F"/>
    <w:rsid w:val="5D4C7F10"/>
    <w:rsid w:val="5D703876"/>
    <w:rsid w:val="5D7B1996"/>
    <w:rsid w:val="5D857456"/>
    <w:rsid w:val="5D9A7B27"/>
    <w:rsid w:val="5D9F1CDC"/>
    <w:rsid w:val="5DEF2199"/>
    <w:rsid w:val="5E123155"/>
    <w:rsid w:val="5E397126"/>
    <w:rsid w:val="5E4A486F"/>
    <w:rsid w:val="5E507649"/>
    <w:rsid w:val="5E8F13F1"/>
    <w:rsid w:val="5E9470A2"/>
    <w:rsid w:val="5EAA5035"/>
    <w:rsid w:val="5EE64E5E"/>
    <w:rsid w:val="5F113B03"/>
    <w:rsid w:val="5F564802"/>
    <w:rsid w:val="5F670595"/>
    <w:rsid w:val="5F7D656F"/>
    <w:rsid w:val="5F871D6A"/>
    <w:rsid w:val="5F9A3823"/>
    <w:rsid w:val="5FB62B52"/>
    <w:rsid w:val="5FBC3B92"/>
    <w:rsid w:val="5FD972F5"/>
    <w:rsid w:val="5FEA0F22"/>
    <w:rsid w:val="603E5713"/>
    <w:rsid w:val="604D60FE"/>
    <w:rsid w:val="60640BDF"/>
    <w:rsid w:val="607D5291"/>
    <w:rsid w:val="609E2C98"/>
    <w:rsid w:val="60A14AF3"/>
    <w:rsid w:val="60A52573"/>
    <w:rsid w:val="60B404C4"/>
    <w:rsid w:val="60BA7318"/>
    <w:rsid w:val="60CB0DD5"/>
    <w:rsid w:val="60DE7A19"/>
    <w:rsid w:val="60E9154E"/>
    <w:rsid w:val="60ED40EE"/>
    <w:rsid w:val="61126D18"/>
    <w:rsid w:val="612E5D5F"/>
    <w:rsid w:val="61803754"/>
    <w:rsid w:val="619E567E"/>
    <w:rsid w:val="61BC6233"/>
    <w:rsid w:val="61C576A6"/>
    <w:rsid w:val="621E2D0C"/>
    <w:rsid w:val="62333CEF"/>
    <w:rsid w:val="62857372"/>
    <w:rsid w:val="6298405F"/>
    <w:rsid w:val="62A20A21"/>
    <w:rsid w:val="62EA1286"/>
    <w:rsid w:val="62FE6436"/>
    <w:rsid w:val="63037A32"/>
    <w:rsid w:val="632537A6"/>
    <w:rsid w:val="63267D66"/>
    <w:rsid w:val="632D50FD"/>
    <w:rsid w:val="635A16B6"/>
    <w:rsid w:val="635E0BD8"/>
    <w:rsid w:val="6384068C"/>
    <w:rsid w:val="638928D2"/>
    <w:rsid w:val="638A0D4E"/>
    <w:rsid w:val="638B663D"/>
    <w:rsid w:val="639302D2"/>
    <w:rsid w:val="63A42BAE"/>
    <w:rsid w:val="63AC1CB8"/>
    <w:rsid w:val="63AD4DFC"/>
    <w:rsid w:val="63C25B23"/>
    <w:rsid w:val="63C426B4"/>
    <w:rsid w:val="63CC1EBB"/>
    <w:rsid w:val="64050212"/>
    <w:rsid w:val="64055D7E"/>
    <w:rsid w:val="641C2999"/>
    <w:rsid w:val="64675005"/>
    <w:rsid w:val="646B627B"/>
    <w:rsid w:val="64780BF6"/>
    <w:rsid w:val="647D59FE"/>
    <w:rsid w:val="64AB2ABD"/>
    <w:rsid w:val="64BD33D5"/>
    <w:rsid w:val="64E131C1"/>
    <w:rsid w:val="64ED5377"/>
    <w:rsid w:val="64EE6714"/>
    <w:rsid w:val="652D38A9"/>
    <w:rsid w:val="65804FA6"/>
    <w:rsid w:val="65847717"/>
    <w:rsid w:val="65B511D2"/>
    <w:rsid w:val="65B662D1"/>
    <w:rsid w:val="66094923"/>
    <w:rsid w:val="66405566"/>
    <w:rsid w:val="664F2477"/>
    <w:rsid w:val="665A0CC9"/>
    <w:rsid w:val="66655DC3"/>
    <w:rsid w:val="6684734C"/>
    <w:rsid w:val="669C21D2"/>
    <w:rsid w:val="66A82013"/>
    <w:rsid w:val="66CB2187"/>
    <w:rsid w:val="66EB6270"/>
    <w:rsid w:val="66F276F1"/>
    <w:rsid w:val="66F54B6D"/>
    <w:rsid w:val="67134AF2"/>
    <w:rsid w:val="67294EFA"/>
    <w:rsid w:val="67420772"/>
    <w:rsid w:val="676A231C"/>
    <w:rsid w:val="677E5884"/>
    <w:rsid w:val="67904BDF"/>
    <w:rsid w:val="67905094"/>
    <w:rsid w:val="6796083E"/>
    <w:rsid w:val="67AF06CD"/>
    <w:rsid w:val="67DC026C"/>
    <w:rsid w:val="67F40983"/>
    <w:rsid w:val="67F40E5D"/>
    <w:rsid w:val="680D60EE"/>
    <w:rsid w:val="68214F82"/>
    <w:rsid w:val="68347D7B"/>
    <w:rsid w:val="6837105F"/>
    <w:rsid w:val="68374701"/>
    <w:rsid w:val="68796F9D"/>
    <w:rsid w:val="688948A8"/>
    <w:rsid w:val="688D01BB"/>
    <w:rsid w:val="68AE0CAD"/>
    <w:rsid w:val="68BE07D8"/>
    <w:rsid w:val="68C170F4"/>
    <w:rsid w:val="68C90EAD"/>
    <w:rsid w:val="68D37DE7"/>
    <w:rsid w:val="68F46323"/>
    <w:rsid w:val="690A72FC"/>
    <w:rsid w:val="692D09E7"/>
    <w:rsid w:val="694059CC"/>
    <w:rsid w:val="694D770F"/>
    <w:rsid w:val="69544538"/>
    <w:rsid w:val="696109F5"/>
    <w:rsid w:val="69971096"/>
    <w:rsid w:val="69B17517"/>
    <w:rsid w:val="69B425C0"/>
    <w:rsid w:val="69CF67BD"/>
    <w:rsid w:val="69D370B1"/>
    <w:rsid w:val="6A0A2F47"/>
    <w:rsid w:val="6A0A583B"/>
    <w:rsid w:val="6A0D5947"/>
    <w:rsid w:val="6A2C1BA3"/>
    <w:rsid w:val="6A454F89"/>
    <w:rsid w:val="6A492614"/>
    <w:rsid w:val="6A497E25"/>
    <w:rsid w:val="6AB65B56"/>
    <w:rsid w:val="6ACB4250"/>
    <w:rsid w:val="6B19510F"/>
    <w:rsid w:val="6B1A7EF1"/>
    <w:rsid w:val="6B470520"/>
    <w:rsid w:val="6B9A1AB6"/>
    <w:rsid w:val="6B9C446C"/>
    <w:rsid w:val="6BB70E49"/>
    <w:rsid w:val="6BCB7744"/>
    <w:rsid w:val="6C2F73C2"/>
    <w:rsid w:val="6C78409A"/>
    <w:rsid w:val="6CB90DA9"/>
    <w:rsid w:val="6CD64589"/>
    <w:rsid w:val="6D1542DA"/>
    <w:rsid w:val="6D25713A"/>
    <w:rsid w:val="6D294002"/>
    <w:rsid w:val="6D7C7E63"/>
    <w:rsid w:val="6D81185C"/>
    <w:rsid w:val="6D954BC4"/>
    <w:rsid w:val="6DA41FA5"/>
    <w:rsid w:val="6DE44A8E"/>
    <w:rsid w:val="6DEA3BCB"/>
    <w:rsid w:val="6DF42C3F"/>
    <w:rsid w:val="6E205569"/>
    <w:rsid w:val="6E226E93"/>
    <w:rsid w:val="6E3A0DEF"/>
    <w:rsid w:val="6E3C0A28"/>
    <w:rsid w:val="6E9144B5"/>
    <w:rsid w:val="6EA73E43"/>
    <w:rsid w:val="6EB142E6"/>
    <w:rsid w:val="6EBC3507"/>
    <w:rsid w:val="6EC52A44"/>
    <w:rsid w:val="6F1852DA"/>
    <w:rsid w:val="6F1B7EDE"/>
    <w:rsid w:val="6F1C667F"/>
    <w:rsid w:val="6F3B28FF"/>
    <w:rsid w:val="6F3D23B9"/>
    <w:rsid w:val="6F584FF1"/>
    <w:rsid w:val="6F5C63EF"/>
    <w:rsid w:val="6F7D576A"/>
    <w:rsid w:val="6F882C6B"/>
    <w:rsid w:val="6FBD54F4"/>
    <w:rsid w:val="6FBD5934"/>
    <w:rsid w:val="6FD264CE"/>
    <w:rsid w:val="6FF3294A"/>
    <w:rsid w:val="703A362C"/>
    <w:rsid w:val="704C0092"/>
    <w:rsid w:val="7060541C"/>
    <w:rsid w:val="70880015"/>
    <w:rsid w:val="70C71917"/>
    <w:rsid w:val="70C814C4"/>
    <w:rsid w:val="70ED20A6"/>
    <w:rsid w:val="7194538E"/>
    <w:rsid w:val="71A07FB0"/>
    <w:rsid w:val="71AE0E7A"/>
    <w:rsid w:val="71C76FF4"/>
    <w:rsid w:val="72113C28"/>
    <w:rsid w:val="721D4A5E"/>
    <w:rsid w:val="721E5F5E"/>
    <w:rsid w:val="723A37EE"/>
    <w:rsid w:val="72500367"/>
    <w:rsid w:val="728F79E5"/>
    <w:rsid w:val="72A37A03"/>
    <w:rsid w:val="72A93343"/>
    <w:rsid w:val="72D94A1A"/>
    <w:rsid w:val="72E470F4"/>
    <w:rsid w:val="731935F6"/>
    <w:rsid w:val="73327718"/>
    <w:rsid w:val="737506FA"/>
    <w:rsid w:val="738112F2"/>
    <w:rsid w:val="73833D40"/>
    <w:rsid w:val="738800D4"/>
    <w:rsid w:val="73946F19"/>
    <w:rsid w:val="73C04B73"/>
    <w:rsid w:val="73E6686F"/>
    <w:rsid w:val="740B1E00"/>
    <w:rsid w:val="745C4B8B"/>
    <w:rsid w:val="74613748"/>
    <w:rsid w:val="74933217"/>
    <w:rsid w:val="74B85F52"/>
    <w:rsid w:val="74C1534B"/>
    <w:rsid w:val="75110642"/>
    <w:rsid w:val="751624AE"/>
    <w:rsid w:val="755C5DD5"/>
    <w:rsid w:val="758C46FE"/>
    <w:rsid w:val="75916F58"/>
    <w:rsid w:val="75A2044A"/>
    <w:rsid w:val="75BC15B2"/>
    <w:rsid w:val="75CD23DE"/>
    <w:rsid w:val="75D16884"/>
    <w:rsid w:val="75EC18DA"/>
    <w:rsid w:val="7628721C"/>
    <w:rsid w:val="7652563B"/>
    <w:rsid w:val="76533A11"/>
    <w:rsid w:val="76570E36"/>
    <w:rsid w:val="766F125D"/>
    <w:rsid w:val="76B73202"/>
    <w:rsid w:val="76BC70DA"/>
    <w:rsid w:val="76EC1546"/>
    <w:rsid w:val="770C31ED"/>
    <w:rsid w:val="772940DC"/>
    <w:rsid w:val="77464C60"/>
    <w:rsid w:val="7776081C"/>
    <w:rsid w:val="77787DE8"/>
    <w:rsid w:val="77957626"/>
    <w:rsid w:val="77A75B0E"/>
    <w:rsid w:val="77B7614C"/>
    <w:rsid w:val="77CC5F20"/>
    <w:rsid w:val="780621E9"/>
    <w:rsid w:val="78317286"/>
    <w:rsid w:val="7877789D"/>
    <w:rsid w:val="787971EC"/>
    <w:rsid w:val="7889791D"/>
    <w:rsid w:val="78A0453D"/>
    <w:rsid w:val="78BF1E08"/>
    <w:rsid w:val="78C13029"/>
    <w:rsid w:val="78D0788D"/>
    <w:rsid w:val="79004028"/>
    <w:rsid w:val="790745F2"/>
    <w:rsid w:val="79136E80"/>
    <w:rsid w:val="79306DE3"/>
    <w:rsid w:val="795242AE"/>
    <w:rsid w:val="796706CC"/>
    <w:rsid w:val="79705E35"/>
    <w:rsid w:val="79736AE4"/>
    <w:rsid w:val="79B00C6E"/>
    <w:rsid w:val="7A5A10E8"/>
    <w:rsid w:val="7A6326A5"/>
    <w:rsid w:val="7A77141E"/>
    <w:rsid w:val="7A837C4D"/>
    <w:rsid w:val="7A93586A"/>
    <w:rsid w:val="7AA739BD"/>
    <w:rsid w:val="7AA91259"/>
    <w:rsid w:val="7AA97583"/>
    <w:rsid w:val="7AB74D9D"/>
    <w:rsid w:val="7AD2402A"/>
    <w:rsid w:val="7AD872DB"/>
    <w:rsid w:val="7AEE2071"/>
    <w:rsid w:val="7B0642B9"/>
    <w:rsid w:val="7BAB5633"/>
    <w:rsid w:val="7BF026F0"/>
    <w:rsid w:val="7C261002"/>
    <w:rsid w:val="7CA46018"/>
    <w:rsid w:val="7CAE499A"/>
    <w:rsid w:val="7CD264F9"/>
    <w:rsid w:val="7CED3813"/>
    <w:rsid w:val="7CF70F42"/>
    <w:rsid w:val="7D1B1D90"/>
    <w:rsid w:val="7D494961"/>
    <w:rsid w:val="7D4D649F"/>
    <w:rsid w:val="7D5F01D6"/>
    <w:rsid w:val="7DB56A87"/>
    <w:rsid w:val="7E03186B"/>
    <w:rsid w:val="7E082917"/>
    <w:rsid w:val="7E0D6051"/>
    <w:rsid w:val="7E16289F"/>
    <w:rsid w:val="7E1C2B9F"/>
    <w:rsid w:val="7E5B62A4"/>
    <w:rsid w:val="7E827C74"/>
    <w:rsid w:val="7EA06960"/>
    <w:rsid w:val="7EEC503F"/>
    <w:rsid w:val="7F17233D"/>
    <w:rsid w:val="7F292BA2"/>
    <w:rsid w:val="7F72397E"/>
    <w:rsid w:val="7F880EC4"/>
    <w:rsid w:val="7F9022C1"/>
    <w:rsid w:val="7F9A5F1B"/>
    <w:rsid w:val="7FAC2EF8"/>
    <w:rsid w:val="7FD548DF"/>
    <w:rsid w:val="7FD6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HTML Address"/>
    <w:basedOn w:val="1"/>
    <w:next w:val="3"/>
    <w:qFormat/>
    <w:uiPriority w:val="0"/>
    <w:rPr>
      <w:i/>
      <w:iCs/>
    </w:rPr>
  </w:style>
  <w:style w:type="paragraph" w:styleId="3">
    <w:name w:val="Body Text"/>
    <w:basedOn w:val="1"/>
    <w:qFormat/>
    <w:uiPriority w:val="99"/>
    <w:pPr>
      <w:spacing w:before="100" w:beforeAutospacing="1" w:after="120"/>
    </w:pPr>
  </w:style>
  <w:style w:type="paragraph" w:styleId="4">
    <w:name w:val="Date"/>
    <w:basedOn w:val="1"/>
    <w:next w:val="1"/>
    <w:qFormat/>
    <w:uiPriority w:val="0"/>
    <w:rPr>
      <w:rFonts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sz="1600">
                <a:latin typeface="黑体" panose="02010609060101010101" charset="-122"/>
                <a:ea typeface="黑体" panose="02010609060101010101" charset="-122"/>
                <a:cs typeface="黑体" panose="02010609060101010101" charset="-122"/>
              </a:rPr>
              <a:t>图表</a:t>
            </a:r>
            <a:r>
              <a:rPr lang="en-US" sz="1600">
                <a:latin typeface="黑体" panose="02010609060101010101" charset="-122"/>
                <a:ea typeface="黑体" panose="02010609060101010101" charset="-122"/>
                <a:cs typeface="黑体" panose="02010609060101010101" charset="-122"/>
              </a:rPr>
              <a:t>1   </a:t>
            </a:r>
            <a:r>
              <a:rPr lang="zh-CN" sz="1600">
                <a:latin typeface="黑体" panose="02010609060101010101" charset="-122"/>
                <a:ea typeface="黑体" panose="02010609060101010101" charset="-122"/>
                <a:cs typeface="黑体" panose="02010609060101010101" charset="-122"/>
              </a:rPr>
              <a:t>批捕、起诉刑事犯罪情况</a:t>
            </a:r>
            <a:endParaRPr lang="zh-CN" sz="1600">
              <a:latin typeface="黑体" panose="02010609060101010101" charset="-122"/>
              <a:ea typeface="黑体" panose="02010609060101010101" charset="-122"/>
              <a:cs typeface="黑体" panose="02010609060101010101" charset="-122"/>
            </a:endParaRPr>
          </a:p>
        </c:rich>
      </c:tx>
      <c:layout/>
      <c:overlay val="0"/>
    </c:title>
    <c:autoTitleDeleted val="0"/>
    <c:plotArea>
      <c:layout/>
      <c:barChart>
        <c:barDir val="col"/>
        <c:grouping val="clustered"/>
        <c:varyColors val="0"/>
        <c:ser>
          <c:idx val="0"/>
          <c:order val="0"/>
          <c:tx>
            <c:strRef>
              <c:f>Sheet1!$B$2</c:f>
              <c:strCache>
                <c:ptCount val="1"/>
                <c:pt idx="0">
                  <c:v>2018</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Sheet1!$A$3:$A$6</c:f>
              <c:strCache>
                <c:ptCount val="4"/>
                <c:pt idx="0">
                  <c:v>批捕（人）</c:v>
                </c:pt>
                <c:pt idx="2">
                  <c:v>起诉（人）</c:v>
                </c:pt>
              </c:strCache>
            </c:strRef>
          </c:cat>
          <c:val>
            <c:numRef>
              <c:f>Sheet1!$B$3:$B$6</c:f>
              <c:numCache>
                <c:formatCode>General</c:formatCode>
                <c:ptCount val="4"/>
                <c:pt idx="0">
                  <c:v>2000</c:v>
                </c:pt>
                <c:pt idx="2">
                  <c:v>2195</c:v>
                </c:pt>
              </c:numCache>
            </c:numRef>
          </c:val>
        </c:ser>
        <c:ser>
          <c:idx val="1"/>
          <c:order val="1"/>
          <c:tx>
            <c:strRef>
              <c:f>Sheet1!$C$2</c:f>
              <c:strCache>
                <c:ptCount val="1"/>
                <c:pt idx="0">
                  <c:v>2019</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Sheet1!$A$3:$A$6</c:f>
              <c:strCache>
                <c:ptCount val="4"/>
                <c:pt idx="0">
                  <c:v>批捕（人）</c:v>
                </c:pt>
                <c:pt idx="2">
                  <c:v>起诉（人）</c:v>
                </c:pt>
              </c:strCache>
            </c:strRef>
          </c:cat>
          <c:val>
            <c:numRef>
              <c:f>Sheet1!$C$3:$C$6</c:f>
              <c:numCache>
                <c:formatCode>General</c:formatCode>
                <c:ptCount val="4"/>
                <c:pt idx="0">
                  <c:v>855</c:v>
                </c:pt>
                <c:pt idx="2">
                  <c:v>1064</c:v>
                </c:pt>
              </c:numCache>
            </c:numRef>
          </c:val>
        </c:ser>
        <c:dLbls>
          <c:showLegendKey val="0"/>
          <c:showVal val="1"/>
          <c:showCatName val="0"/>
          <c:showSerName val="0"/>
          <c:showPercent val="0"/>
          <c:showBubbleSize val="0"/>
        </c:dLbls>
        <c:gapWidth val="150"/>
        <c:axId val="51953664"/>
        <c:axId val="51956736"/>
      </c:barChart>
      <c:catAx>
        <c:axId val="519536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956736"/>
        <c:crosses val="autoZero"/>
        <c:auto val="1"/>
        <c:lblAlgn val="ctr"/>
        <c:lblOffset val="100"/>
        <c:noMultiLvlLbl val="0"/>
      </c:catAx>
      <c:valAx>
        <c:axId val="51956736"/>
        <c:scaling>
          <c:orientation val="minMax"/>
          <c:max val="250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953664"/>
        <c:crosses val="autoZero"/>
        <c:crossBetween val="between"/>
      </c:valAx>
      <c:spPr>
        <a:solidFill>
          <a:schemeClr val="bg1"/>
        </a:solidFill>
        <a:ln>
          <a:noFill/>
        </a:ln>
        <a:effectLst/>
      </c:spPr>
    </c:plotArea>
    <c:legend>
      <c:legendPos val="r"/>
      <c:layout>
        <c:manualLayout>
          <c:xMode val="edge"/>
          <c:yMode val="edge"/>
          <c:x val="0.88315962698848"/>
          <c:y val="0.38114655792756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sz="1600">
                <a:latin typeface="黑体" panose="02010609060101010101" charset="-122"/>
                <a:ea typeface="黑体" panose="02010609060101010101" charset="-122"/>
                <a:cs typeface="黑体" panose="02010609060101010101" charset="-122"/>
              </a:rPr>
              <a:t>图表</a:t>
            </a:r>
            <a:r>
              <a:rPr lang="en-US" sz="1600">
                <a:latin typeface="黑体" panose="02010609060101010101" charset="-122"/>
                <a:ea typeface="黑体" panose="02010609060101010101" charset="-122"/>
                <a:cs typeface="黑体" panose="02010609060101010101" charset="-122"/>
              </a:rPr>
              <a:t>2   </a:t>
            </a:r>
            <a:r>
              <a:rPr lang="zh-CN" sz="1600">
                <a:latin typeface="黑体" panose="02010609060101010101" charset="-122"/>
                <a:ea typeface="黑体" panose="02010609060101010101" charset="-122"/>
                <a:cs typeface="黑体" panose="02010609060101010101" charset="-122"/>
              </a:rPr>
              <a:t>不批捕、不起诉刑事犯罪情况</a:t>
            </a:r>
            <a:endParaRPr lang="zh-CN" sz="1600">
              <a:latin typeface="黑体" panose="02010609060101010101" charset="-122"/>
              <a:ea typeface="黑体" panose="02010609060101010101" charset="-122"/>
              <a:cs typeface="黑体" panose="02010609060101010101" charset="-122"/>
            </a:endParaRPr>
          </a:p>
        </c:rich>
      </c:tx>
      <c:layout>
        <c:manualLayout>
          <c:xMode val="edge"/>
          <c:yMode val="edge"/>
          <c:x val="0.164391908359737"/>
          <c:y val="0.0218791685451541"/>
        </c:manualLayout>
      </c:layout>
      <c:overlay val="0"/>
    </c:title>
    <c:autoTitleDeleted val="0"/>
    <c:plotArea>
      <c:layout>
        <c:manualLayout>
          <c:layoutTarget val="inner"/>
          <c:xMode val="edge"/>
          <c:yMode val="edge"/>
          <c:x val="0.101453139581389"/>
          <c:y val="0.166844691305277"/>
          <c:w val="0.7594987335022"/>
          <c:h val="0.724845118564409"/>
        </c:manualLayout>
      </c:layout>
      <c:barChart>
        <c:barDir val="col"/>
        <c:grouping val="clustered"/>
        <c:varyColors val="0"/>
        <c:ser>
          <c:idx val="0"/>
          <c:order val="0"/>
          <c:tx>
            <c:strRef>
              <c:f>Sheet1!$B$1</c:f>
              <c:strCache>
                <c:ptCount val="1"/>
                <c:pt idx="0">
                  <c:v>2018</c:v>
                </c:pt>
              </c:strCache>
            </c:strRef>
          </c:tx>
          <c:invertIfNegative val="0"/>
          <c:dLbls>
            <c:dLbl>
              <c:idx val="0"/>
              <c:layout>
                <c:manualLayout>
                  <c:x val="-2.06454071481408e-17"/>
                  <c:y val="-0.031746031746031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99096244672659"/>
                  <c:y val="0.023159207941816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不批捕（人）</c:v>
                </c:pt>
                <c:pt idx="2">
                  <c:v>不起诉（人）</c:v>
                </c:pt>
              </c:strCache>
            </c:strRef>
          </c:cat>
          <c:val>
            <c:numRef>
              <c:f>Sheet1!$B$2:$B$4</c:f>
              <c:numCache>
                <c:formatCode>General</c:formatCode>
                <c:ptCount val="3"/>
                <c:pt idx="0">
                  <c:v>2</c:v>
                </c:pt>
                <c:pt idx="2">
                  <c:v>4</c:v>
                </c:pt>
              </c:numCache>
            </c:numRef>
          </c:val>
        </c:ser>
        <c:ser>
          <c:idx val="1"/>
          <c:order val="1"/>
          <c:tx>
            <c:strRef>
              <c:f>Sheet1!$C$1</c:f>
              <c:strCache>
                <c:ptCount val="1"/>
                <c:pt idx="0">
                  <c:v>2019</c:v>
                </c:pt>
              </c:strCache>
            </c:strRef>
          </c:tx>
          <c:spPr>
            <a:solidFill>
              <a:schemeClr val="accent1"/>
            </a:solidFill>
          </c:spPr>
          <c:invertIfNegative val="0"/>
          <c:dLbls>
            <c:dLbl>
              <c:idx val="0"/>
              <c:layout>
                <c:manualLayout>
                  <c:x val="0.000163031664372268"/>
                  <c:y val="0.02196569719534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delete val="1"/>
            </c:dLbl>
            <c:dLbl>
              <c:idx val="2"/>
              <c:layout>
                <c:manualLayout>
                  <c:x val="0.00241528391662439"/>
                  <c:y val="-0.010227939356330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不批捕（人）</c:v>
                </c:pt>
                <c:pt idx="2">
                  <c:v>不起诉（人）</c:v>
                </c:pt>
              </c:strCache>
            </c:strRef>
          </c:cat>
          <c:val>
            <c:numRef>
              <c:f>Sheet1!$C$2:$C$4</c:f>
              <c:numCache>
                <c:formatCode>General</c:formatCode>
                <c:ptCount val="3"/>
                <c:pt idx="0">
                  <c:v>28</c:v>
                </c:pt>
                <c:pt idx="2">
                  <c:v>16</c:v>
                </c:pt>
              </c:numCache>
            </c:numRef>
          </c:val>
        </c:ser>
        <c:dLbls>
          <c:showLegendKey val="0"/>
          <c:showVal val="0"/>
          <c:showCatName val="0"/>
          <c:showSerName val="0"/>
          <c:showPercent val="0"/>
          <c:showBubbleSize val="0"/>
        </c:dLbls>
        <c:gapWidth val="150"/>
        <c:axId val="54511104"/>
        <c:axId val="54513024"/>
      </c:barChart>
      <c:catAx>
        <c:axId val="545111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513024"/>
        <c:crosses val="autoZero"/>
        <c:auto val="1"/>
        <c:lblAlgn val="ctr"/>
        <c:lblOffset val="100"/>
        <c:noMultiLvlLbl val="0"/>
      </c:catAx>
      <c:valAx>
        <c:axId val="54513024"/>
        <c:scaling>
          <c:orientation val="minMax"/>
          <c:max val="30"/>
        </c:scaling>
        <c:delete val="0"/>
        <c:axPos val="l"/>
        <c:majorGridlines>
          <c:spPr>
            <a:effectLst>
              <a:outerShdw blurRad="50800" dist="38100" dir="18900000" algn="bl" rotWithShape="0">
                <a:prstClr val="black">
                  <a:alpha val="40000"/>
                </a:prstClr>
              </a:outerShdw>
            </a:effectLst>
          </c:spPr>
        </c:majorGridlines>
        <c:numFmt formatCode="General"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511104"/>
        <c:crosses val="autoZero"/>
        <c:crossBetween val="between"/>
      </c:valAx>
      <c:spPr>
        <a:solidFill>
          <a:schemeClr val="bg1"/>
        </a:solidFill>
        <a:ln>
          <a:noFill/>
        </a:ln>
        <a:effectLst/>
      </c:spPr>
    </c:plotArea>
    <c:legend>
      <c:legendPos val="r"/>
      <c:layout>
        <c:manualLayout>
          <c:xMode val="edge"/>
          <c:yMode val="edge"/>
          <c:x val="0.88641514464738"/>
          <c:y val="0.317239906002991"/>
          <c:w val="0.101986401813092"/>
          <c:h val="0.14548173467207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a:latin typeface="黑体" panose="02010609060101010101" charset="-122"/>
                <a:ea typeface="黑体" panose="02010609060101010101" charset="-122"/>
                <a:cs typeface="黑体" panose="02010609060101010101" charset="-122"/>
              </a:rPr>
              <a:t>图表</a:t>
            </a:r>
            <a:r>
              <a:rPr lang="en-US" altLang="zh-CN" sz="1600">
                <a:latin typeface="黑体" panose="02010609060101010101" charset="-122"/>
                <a:ea typeface="黑体" panose="02010609060101010101" charset="-122"/>
                <a:cs typeface="黑体" panose="02010609060101010101" charset="-122"/>
              </a:rPr>
              <a:t>3   </a:t>
            </a:r>
            <a:r>
              <a:rPr lang="zh-CN" altLang="en-US" sz="1600">
                <a:latin typeface="黑体" panose="02010609060101010101" charset="-122"/>
                <a:ea typeface="黑体" panose="02010609060101010101" charset="-122"/>
                <a:cs typeface="黑体" panose="02010609060101010101" charset="-122"/>
              </a:rPr>
              <a:t>刑事诉讼监督情况</a:t>
            </a:r>
            <a:endParaRPr lang="zh-CN" altLang="en-US" sz="1600">
              <a:latin typeface="黑体" panose="02010609060101010101" charset="-122"/>
              <a:ea typeface="黑体" panose="02010609060101010101" charset="-122"/>
              <a:cs typeface="黑体" panose="02010609060101010101" charset="-122"/>
            </a:endParaRPr>
          </a:p>
        </c:rich>
      </c:tx>
      <c:layout>
        <c:manualLayout>
          <c:xMode val="edge"/>
          <c:yMode val="edge"/>
          <c:x val="0.286046261063412"/>
          <c:y val="0.00722195474241695"/>
        </c:manualLayout>
      </c:layout>
      <c:overlay val="0"/>
    </c:title>
    <c:autoTitleDeleted val="0"/>
    <c:plotArea>
      <c:layout>
        <c:manualLayout>
          <c:layoutTarget val="inner"/>
          <c:xMode val="edge"/>
          <c:yMode val="edge"/>
          <c:x val="0.346110983191342"/>
          <c:y val="0.251882522869523"/>
          <c:w val="0.311231867372784"/>
          <c:h val="0.650784785748676"/>
        </c:manualLayout>
      </c:layout>
      <c:pieChart>
        <c:varyColors val="1"/>
        <c:ser>
          <c:idx val="0"/>
          <c:order val="0"/>
          <c:tx>
            <c:strRef>
              <c:f>Sheet1!$B$1</c:f>
              <c:strCache>
                <c:ptCount val="1"/>
                <c:pt idx="0">
                  <c:v>刑事诉讼监督情况</c:v>
                </c:pt>
              </c:strCache>
            </c:strRef>
          </c:tx>
          <c:explosion val="25"/>
          <c:dPt>
            <c:idx val="0"/>
            <c:bubble3D val="0"/>
          </c:dPt>
          <c:dPt>
            <c:idx val="1"/>
            <c:bubble3D val="0"/>
          </c:dPt>
          <c:dPt>
            <c:idx val="2"/>
            <c:bubble3D val="0"/>
          </c:dPt>
          <c:dPt>
            <c:idx val="3"/>
            <c:bubble3D val="0"/>
          </c:dPt>
          <c:dLbls>
            <c:dLbl>
              <c:idx val="0"/>
              <c:layout>
                <c:manualLayout>
                  <c:x val="-0.00162523628683184"/>
                  <c:y val="-0.25044895703826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监督纠正违法通知书</a:t>
                    </a:r>
                    <a:r>
                      <a:rPr lang="en-US" altLang="zh-CN"/>
                      <a:t>5</a:t>
                    </a:r>
                    <a:r>
                      <a:rPr altLang="en-US"/>
                      <a:t>份</a:t>
                    </a:r>
                    <a:endParaRPr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32236633796648"/>
                  <c:y val="-0.019256803425887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督促立案</a:t>
                    </a:r>
                    <a:r>
                      <a:rPr lang="en-US" altLang="zh-CN"/>
                      <a:t>3</a:t>
                    </a:r>
                    <a:r>
                      <a:rPr lang="zh-CN" altLang="en-US"/>
                      <a:t>件
</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488690102085863"/>
                  <c:y val="-0.070376259921239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监督遗漏罪行</a:t>
                    </a:r>
                    <a:r>
                      <a:rPr lang="en-US" altLang="zh-CN"/>
                      <a:t>3</a:t>
                    </a:r>
                    <a:r>
                      <a:rPr altLang="en-US"/>
                      <a:t>人</a:t>
                    </a:r>
                    <a:endParaRPr alt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89335094695404"/>
                  <c:y val="0.051753720281465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纠正遗漏同案犯</a:t>
                    </a:r>
                    <a:r>
                      <a:rPr lang="en-US" altLang="zh-CN"/>
                      <a:t>1</a:t>
                    </a:r>
                    <a:r>
                      <a:rPr altLang="en-US"/>
                      <a:t>人</a:t>
                    </a:r>
                    <a:endParaRPr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3138602520046"/>
                      <c:h val="0.161309523809524"/>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监督纠正侦查违法6件</c:v>
                </c:pt>
                <c:pt idx="1">
                  <c:v>督促立案2件</c:v>
                </c:pt>
                <c:pt idx="2">
                  <c:v>追加逮捕2人</c:v>
                </c:pt>
                <c:pt idx="3">
                  <c:v>追加起诉2人</c:v>
                </c:pt>
              </c:strCache>
            </c:strRef>
          </c:cat>
          <c:val>
            <c:numRef>
              <c:f>Sheet1!$B$2:$B$5</c:f>
              <c:numCache>
                <c:formatCode>General</c:formatCode>
                <c:ptCount val="4"/>
                <c:pt idx="0">
                  <c:v>6</c:v>
                </c:pt>
                <c:pt idx="1">
                  <c:v>2</c:v>
                </c:pt>
                <c:pt idx="2">
                  <c:v>2</c:v>
                </c:pt>
                <c:pt idx="3">
                  <c:v>2</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gap"/>
    <c:showDLblsOverMax val="0"/>
  </c:chart>
  <c:spPr>
    <a:ln w="6350" cap="flat" cmpd="sng" algn="ctr">
      <a:noFill/>
      <a:prstDash val="solid"/>
      <a:round/>
    </a:ln>
  </c:spPr>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0.13851</cdr:x>
      <cdr:y>0.19345</cdr:y>
    </cdr:from>
    <cdr:to>
      <cdr:x>0.13851</cdr:x>
      <cdr:y>0.81845</cdr:y>
    </cdr:to>
    <cdr:sp>
      <cdr:nvSpPr>
        <cdr:cNvPr id="2" name="直接连接符 1"/>
        <cdr:cNvSpPr/>
      </cdr:nvSpPr>
      <cdr:spPr xmlns:a="http://schemas.openxmlformats.org/drawingml/2006/main">
        <a:xfrm xmlns:a="http://schemas.openxmlformats.org/drawingml/2006/main">
          <a:off x="781050" y="619125"/>
          <a:ext cx="0" cy="2000250"/>
        </a:xfrm>
        <a:prstGeom xmlns:a="http://schemas.openxmlformats.org/drawingml/2006/main" prst="line">
          <a:avLst/>
        </a:prstGeom>
        <a:ln>
          <a:solidFill>
            <a:schemeClr val="tx1">
              <a:lumMod val="50000"/>
              <a:lumOff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Overflow="clip" vert="horz" wrap="none" lIns="45720" tIns="45720" rIns="45720" bIns="45720" anchor="t" anchorCtr="0">
          <a:normAutofit/>
        </a:bodyPr>
        <a:lstStyle/>
        <a:p>
          <a:endParaRPr lang="zh-CN"/>
        </a:p>
      </cdr:txBody>
    </cdr:sp>
  </cdr:relSizeAnchor>
</c:userShapes>
</file>

<file path=word/drawings/drawing2.xml><?xml version="1.0" encoding="utf-8"?>
<c:userShapes xmlns:c="http://schemas.openxmlformats.org/drawingml/2006/chart">
  <cdr:relSizeAnchor xmlns:cdr="http://schemas.openxmlformats.org/drawingml/2006/chartDrawing">
    <cdr:from>
      <cdr:x>0.14696</cdr:x>
      <cdr:y>0.1875</cdr:y>
    </cdr:from>
    <cdr:to>
      <cdr:x>0.15034</cdr:x>
      <cdr:y>0.80952</cdr:y>
    </cdr:to>
    <cdr:sp>
      <cdr:nvSpPr>
        <cdr:cNvPr id="2" name="直接连接符 1"/>
        <cdr:cNvSpPr/>
      </cdr:nvSpPr>
      <cdr:spPr xmlns:a="http://schemas.openxmlformats.org/drawingml/2006/main">
        <a:xfrm xmlns:a="http://schemas.openxmlformats.org/drawingml/2006/main">
          <a:off x="828673" y="600074"/>
          <a:ext cx="19052" cy="1990725"/>
        </a:xfrm>
        <a:prstGeom xmlns:a="http://schemas.openxmlformats.org/drawingml/2006/main" prst="line">
          <a:avLst/>
        </a:prstGeom>
        <a:ln cmpd="sng">
          <a:solidFill>
            <a:schemeClr val="tx1">
              <a:lumMod val="50000"/>
              <a:lumOff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Overflow="clip" vert="horz" wrap="none" lIns="45720" tIns="45720" rIns="45720" bIns="45720" anchor="t" anchorCtr="0">
          <a:normAutofit/>
        </a:bodyPr>
        <a:lstStyle/>
        <a:p>
          <a:endParaRPr lang="zh-CN"/>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7403</Words>
  <Characters>7504</Characters>
  <Lines>0</Lines>
  <Paragraphs>0</Paragraphs>
  <TotalTime>111</TotalTime>
  <ScaleCrop>false</ScaleCrop>
  <LinksUpToDate>false</LinksUpToDate>
  <CharactersWithSpaces>7540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2019-12-24T04:42:00Z</dcterms:created>
  <dc:creator>zxr</dc:creator>
  <cp:lastModifiedBy>zxr</cp:lastModifiedBy>
  <cp:lastPrinted>2020-01-11T03:58:51Z</cp:lastPrinted>
  <dcterms:modified xsi:type="dcterms:W3CDTF">2020-01-11T04:40:18Z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